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5.xml" ContentType="application/vnd.openxmlformats-officedocument.wordprocessingml.footer+xml"/>
  <Override PartName="/word/media/image1.jpeg" ContentType="image/jpeg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hanging="0" w:left="4592" w:right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Приложение 2 к приказу Министерства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4592" w:right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образования Камчатского края</w:t>
      </w:r>
    </w:p>
    <w:tbl>
      <w:tblPr>
        <w:tblStyle w:val="Style_4"/>
        <w:tblW w:w="4810" w:type="dxa"/>
        <w:jc w:val="left"/>
        <w:tblInd w:w="4624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624"/>
        <w:gridCol w:w="1876"/>
        <w:gridCol w:w="499"/>
        <w:gridCol w:w="1810"/>
      </w:tblGrid>
      <w:tr>
        <w:trPr/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0" w:left="-57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8"/>
                <w:szCs w:val="20"/>
              </w:rPr>
              <w:t>от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0" w:left="0" w:right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28"/>
                <w:szCs w:val="20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16"/>
                <w:szCs w:val="20"/>
              </w:rPr>
              <w:t>EGDATESTAMP]</w:t>
            </w:r>
          </w:p>
        </w:tc>
        <w:tc>
          <w:tcPr>
            <w:tcW w:w="49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0" w:left="0" w:right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8"/>
                <w:szCs w:val="20"/>
              </w:rPr>
              <w:t>№</w:t>
            </w:r>
          </w:p>
        </w:tc>
        <w:tc>
          <w:tcPr>
            <w:tcW w:w="1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0" w:left="0" w:right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28"/>
                <w:szCs w:val="20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16"/>
                <w:szCs w:val="20"/>
              </w:rPr>
              <w:t>EGNUMSTAMP]</w:t>
            </w:r>
          </w:p>
        </w:tc>
      </w:tr>
    </w:tbl>
    <w:p>
      <w:pPr>
        <w:pStyle w:val="Normal"/>
        <w:ind w:hanging="0" w:left="4707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widowControl/>
        <w:spacing w:before="0" w:after="200"/>
        <w:ind w:firstLine="720" w:left="0" w:right="0"/>
        <w:contextualSpacing/>
        <w:jc w:val="righ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213"/>
        <w:spacing w:before="0" w:after="0"/>
        <w:rPr>
          <w:sz w:val="28"/>
        </w:rPr>
      </w:pPr>
      <w:r>
        <w:rPr>
          <w:sz w:val="28"/>
        </w:rPr>
        <w:t>Инструкция</w:t>
      </w:r>
    </w:p>
    <w:p>
      <w:pPr>
        <w:pStyle w:val="213"/>
        <w:spacing w:before="0" w:after="0"/>
        <w:rPr>
          <w:sz w:val="28"/>
        </w:rPr>
      </w:pPr>
      <w:r>
        <w:rPr>
          <w:sz w:val="28"/>
        </w:rPr>
        <w:t>по организации и проведению государственного выпускного экзамена по образовательным программам среднего общего образования в 2026 году</w:t>
      </w:r>
    </w:p>
    <w:p>
      <w:pPr>
        <w:pStyle w:val="13"/>
        <w:ind w:hanging="0" w:left="2890" w:right="0"/>
        <w:rPr>
          <w:sz w:val="28"/>
        </w:rPr>
      </w:pPr>
      <w:r>
        <w:rPr>
          <w:sz w:val="28"/>
        </w:rPr>
      </w:r>
    </w:p>
    <w:p>
      <w:pPr>
        <w:pStyle w:val="13"/>
        <w:jc w:val="center"/>
        <w:rPr>
          <w:sz w:val="28"/>
        </w:rPr>
      </w:pPr>
      <w:r>
        <w:rPr>
          <w:sz w:val="28"/>
        </w:rPr>
        <w:t>Содержание</w:t>
      </w:r>
    </w:p>
    <w:p>
      <w:pPr>
        <w:pStyle w:val="13"/>
        <w:ind w:hanging="0" w:left="2890" w:right="0"/>
        <w:rPr>
          <w:b w:val="false"/>
          <w:sz w:val="28"/>
        </w:rPr>
      </w:pPr>
      <w:r>
        <w:rPr>
          <w:b w:val="false"/>
          <w:sz w:val="28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9"/>
              <w:tab w:val="right" w:pos="10445" w:leader="dot"/>
            </w:tabs>
            <w:rPr/>
          </w:pPr>
          <w:r>
            <w:fldChar w:fldCharType="begin"/>
          </w:r>
          <w:r>
            <w:rPr>
              <w:rStyle w:val="Style12"/>
              <w:sz w:val="28"/>
              <w:b/>
              <w:szCs w:val="28"/>
              <w:bCs/>
              <w:rFonts w:ascii="Times New Roman" w:hAnsi="Times New Roman"/>
            </w:rPr>
            <w:instrText xml:space="preserve"> TOC \o "1-3" \h</w:instrText>
          </w:r>
          <w:r>
            <w:rPr>
              <w:rStyle w:val="Style12"/>
              <w:sz w:val="28"/>
              <w:b/>
              <w:szCs w:val="28"/>
              <w:bCs/>
              <w:rFonts w:ascii="Times New Roman" w:hAnsi="Times New Roman"/>
            </w:rPr>
            <w:fldChar w:fldCharType="separate"/>
          </w:r>
          <w:hyperlink w:anchor="__RefHeading___1">
            <w:r>
              <w:rPr>
                <w:rStyle w:val="Style12"/>
                <w:rFonts w:ascii="Times New Roman" w:hAnsi="Times New Roman"/>
                <w:b/>
                <w:bCs/>
                <w:sz w:val="28"/>
                <w:szCs w:val="28"/>
              </w:rPr>
              <w:t>1. Рекомендации по организации и проведению ГВЭ</w:t>
              <w:tab/>
              <w:t>191</w:t>
            </w:r>
          </w:hyperlink>
        </w:p>
        <w:p>
          <w:pPr>
            <w:pStyle w:val="TOC2"/>
            <w:tabs>
              <w:tab w:val="clear" w:pos="709"/>
              <w:tab w:val="right" w:pos="10445" w:leader="dot"/>
            </w:tabs>
            <w:rPr/>
          </w:pPr>
          <w:hyperlink w:anchor="__RefHeading___2">
            <w:r>
              <w:rPr>
                <w:rStyle w:val="Style12"/>
                <w:rFonts w:ascii="Times New Roman" w:hAnsi="Times New Roman"/>
                <w:sz w:val="28"/>
                <w:szCs w:val="28"/>
              </w:rPr>
              <w:t>1.1. Рекомендации по организации и проведению ГВЭ по русскому языку и математике</w:t>
              <w:tab/>
              <w:t>192</w:t>
            </w:r>
          </w:hyperlink>
        </w:p>
        <w:p>
          <w:pPr>
            <w:pStyle w:val="TOC3"/>
            <w:tabs>
              <w:tab w:val="clear" w:pos="709"/>
              <w:tab w:val="right" w:pos="10445" w:leader="dot"/>
            </w:tabs>
            <w:rPr/>
          </w:pPr>
          <w:hyperlink w:anchor="__RefHeading___3">
            <w:r>
              <w:rPr>
                <w:rStyle w:val="Style12"/>
                <w:rFonts w:ascii="Times New Roman" w:hAnsi="Times New Roman"/>
                <w:sz w:val="28"/>
                <w:szCs w:val="28"/>
              </w:rPr>
              <w:t>1.1.1. Особенности ГВЭ по русскому языку в письменной форме</w:t>
              <w:tab/>
              <w:t>192</w:t>
            </w:r>
          </w:hyperlink>
        </w:p>
        <w:p>
          <w:pPr>
            <w:pStyle w:val="TOC3"/>
            <w:tabs>
              <w:tab w:val="clear" w:pos="709"/>
              <w:tab w:val="right" w:pos="10445" w:leader="dot"/>
            </w:tabs>
            <w:rPr/>
          </w:pPr>
          <w:hyperlink w:anchor="__RefHeading___4">
            <w:r>
              <w:rPr>
                <w:rStyle w:val="Style12"/>
                <w:rFonts w:ascii="Times New Roman" w:hAnsi="Times New Roman"/>
                <w:sz w:val="28"/>
                <w:szCs w:val="28"/>
              </w:rPr>
              <w:t>1.1.2. Особенности ГВЭ по русскому языку в устной форме</w:t>
              <w:tab/>
              <w:t>193</w:t>
            </w:r>
          </w:hyperlink>
        </w:p>
        <w:p>
          <w:pPr>
            <w:pStyle w:val="TOC3"/>
            <w:tabs>
              <w:tab w:val="clear" w:pos="709"/>
              <w:tab w:val="right" w:pos="10445" w:leader="dot"/>
            </w:tabs>
            <w:rPr/>
          </w:pPr>
          <w:hyperlink w:anchor="__RefHeading___5">
            <w:r>
              <w:rPr>
                <w:rStyle w:val="Style12"/>
                <w:rFonts w:ascii="Times New Roman" w:hAnsi="Times New Roman"/>
                <w:sz w:val="28"/>
                <w:szCs w:val="28"/>
              </w:rPr>
              <w:t>1.1.3. Особенности ГВЭ по математике в письменной форме</w:t>
              <w:tab/>
              <w:t>194</w:t>
            </w:r>
          </w:hyperlink>
        </w:p>
        <w:p>
          <w:pPr>
            <w:pStyle w:val="TOC3"/>
            <w:tabs>
              <w:tab w:val="clear" w:pos="709"/>
              <w:tab w:val="right" w:pos="10445" w:leader="dot"/>
            </w:tabs>
            <w:rPr/>
          </w:pPr>
          <w:hyperlink w:anchor="__RefHeading___6">
            <w:r>
              <w:rPr>
                <w:rStyle w:val="Style12"/>
                <w:rFonts w:ascii="Times New Roman" w:hAnsi="Times New Roman"/>
                <w:sz w:val="28"/>
                <w:szCs w:val="28"/>
              </w:rPr>
              <w:t>1.1.4. Особенности ГВЭ по математике в устной форме</w:t>
              <w:tab/>
              <w:t>195</w:t>
            </w:r>
          </w:hyperlink>
        </w:p>
        <w:p>
          <w:pPr>
            <w:pStyle w:val="TOC2"/>
            <w:tabs>
              <w:tab w:val="clear" w:pos="709"/>
              <w:tab w:val="right" w:pos="10445" w:leader="dot"/>
            </w:tabs>
            <w:rPr/>
          </w:pPr>
          <w:hyperlink w:anchor="__RefHeading___7">
            <w:r>
              <w:rPr>
                <w:rStyle w:val="Style12"/>
                <w:rFonts w:ascii="Times New Roman" w:hAnsi="Times New Roman"/>
                <w:sz w:val="28"/>
                <w:szCs w:val="28"/>
              </w:rPr>
              <w:t>1.2. Печать бланков ГВЭ</w:t>
              <w:tab/>
              <w:t>195</w:t>
            </w:r>
          </w:hyperlink>
        </w:p>
        <w:p>
          <w:pPr>
            <w:pStyle w:val="TOC1"/>
            <w:tabs>
              <w:tab w:val="clear" w:pos="709"/>
              <w:tab w:val="right" w:pos="10445" w:leader="dot"/>
            </w:tabs>
            <w:rPr/>
          </w:pPr>
          <w:hyperlink w:anchor="__RefHeading___8">
            <w:r>
              <w:rPr>
                <w:rStyle w:val="Style12"/>
                <w:rFonts w:ascii="Times New Roman" w:hAnsi="Times New Roman"/>
                <w:b/>
                <w:bCs/>
                <w:sz w:val="28"/>
                <w:szCs w:val="28"/>
              </w:rPr>
              <w:t>2. Инструктивные материалы для лиц, привлекаемых к проведению ГВЭ в ППЭ</w:t>
              <w:tab/>
              <w:t>196</w:t>
            </w:r>
          </w:hyperlink>
        </w:p>
        <w:p>
          <w:pPr>
            <w:pStyle w:val="TOC2"/>
            <w:tabs>
              <w:tab w:val="clear" w:pos="709"/>
              <w:tab w:val="right" w:pos="10445" w:leader="dot"/>
            </w:tabs>
            <w:rPr/>
          </w:pPr>
          <w:hyperlink w:anchor="__RefHeading___9">
            <w:r>
              <w:rPr>
                <w:rStyle w:val="Style12"/>
                <w:rFonts w:ascii="Times New Roman" w:hAnsi="Times New Roman"/>
                <w:sz w:val="28"/>
                <w:szCs w:val="28"/>
              </w:rPr>
              <w:t>2.1. Инструкция для члена ГЭК</w:t>
              <w:tab/>
              <w:t>196</w:t>
            </w:r>
          </w:hyperlink>
        </w:p>
        <w:p>
          <w:pPr>
            <w:pStyle w:val="TOC2"/>
            <w:tabs>
              <w:tab w:val="clear" w:pos="709"/>
              <w:tab w:val="right" w:pos="10445" w:leader="dot"/>
            </w:tabs>
            <w:rPr/>
          </w:pPr>
          <w:hyperlink w:anchor="__RefHeading___10">
            <w:r>
              <w:rPr>
                <w:rStyle w:val="Style12"/>
                <w:rFonts w:ascii="Times New Roman" w:hAnsi="Times New Roman"/>
                <w:sz w:val="28"/>
                <w:szCs w:val="28"/>
              </w:rPr>
              <w:t>2.2. Инструкция для руководителя ППЭ</w:t>
              <w:tab/>
              <w:t>201</w:t>
            </w:r>
          </w:hyperlink>
        </w:p>
        <w:p>
          <w:pPr>
            <w:pStyle w:val="TOC2"/>
            <w:tabs>
              <w:tab w:val="clear" w:pos="709"/>
              <w:tab w:val="right" w:pos="10445" w:leader="dot"/>
            </w:tabs>
            <w:rPr/>
          </w:pPr>
          <w:hyperlink w:anchor="__RefHeading___11">
            <w:r>
              <w:rPr>
                <w:rStyle w:val="Style12"/>
                <w:rFonts w:ascii="Times New Roman" w:hAnsi="Times New Roman"/>
                <w:sz w:val="28"/>
                <w:szCs w:val="28"/>
              </w:rPr>
              <w:t>2.3. Инструкция для организатора в аудитории</w:t>
              <w:tab/>
              <w:t>208</w:t>
            </w:r>
          </w:hyperlink>
        </w:p>
        <w:p>
          <w:pPr>
            <w:pStyle w:val="TOC2"/>
            <w:tabs>
              <w:tab w:val="clear" w:pos="709"/>
              <w:tab w:val="right" w:pos="10445" w:leader="dot"/>
            </w:tabs>
            <w:rPr/>
          </w:pPr>
          <w:hyperlink w:anchor="__RefHeading___12">
            <w:r>
              <w:rPr>
                <w:rStyle w:val="Style12"/>
                <w:rFonts w:ascii="Times New Roman" w:hAnsi="Times New Roman"/>
                <w:sz w:val="28"/>
                <w:szCs w:val="28"/>
              </w:rPr>
              <w:t>2.4. Инструкция для технического специалиста</w:t>
              <w:tab/>
              <w:t>217</w:t>
            </w:r>
          </w:hyperlink>
        </w:p>
        <w:p>
          <w:pPr>
            <w:pStyle w:val="TOC1"/>
            <w:tabs>
              <w:tab w:val="clear" w:pos="709"/>
              <w:tab w:val="right" w:pos="10445" w:leader="dot"/>
            </w:tabs>
            <w:rPr/>
          </w:pPr>
          <w:hyperlink w:anchor="__RefHeading___13">
            <w:r>
              <w:rPr>
                <w:rStyle w:val="Style12"/>
                <w:rFonts w:ascii="Times New Roman" w:hAnsi="Times New Roman"/>
                <w:sz w:val="28"/>
                <w:szCs w:val="28"/>
              </w:rPr>
              <w:t>Приложения</w:t>
              <w:tab/>
              <w:t>220</w:t>
            </w:r>
          </w:hyperlink>
          <w:r>
            <w:rPr>
              <w:rFonts w:ascii="Times New Roman" w:hAnsi="Times New Roman"/>
              <w:sz w:val="28"/>
              <w:szCs w:val="28"/>
            </w:rPr>
            <w:t>-228</w:t>
          </w:r>
          <w:r>
            <w:rPr>
              <w:sz w:val="28"/>
              <w:szCs w:val="28"/>
              <w:rFonts w:ascii="Times New Roman" w:hAnsi="Times New Roman"/>
            </w:rPr>
            <w:fldChar w:fldCharType="end"/>
          </w:r>
        </w:p>
      </w:sdtContent>
    </w:sdt>
    <w:p>
      <w:pPr>
        <w:pStyle w:val="Normal"/>
        <w:widowControl w:val="fals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br w:type="page"/>
      </w:r>
    </w:p>
    <w:p>
      <w:pPr>
        <w:pStyle w:val="13"/>
        <w:spacing w:before="0" w:after="0"/>
        <w:ind w:hanging="0" w:left="2890" w:right="0"/>
        <w:rPr>
          <w:sz w:val="28"/>
        </w:rPr>
      </w:pPr>
      <w:r>
        <w:rPr>
          <w:sz w:val="28"/>
        </w:rPr>
        <w:t>Перечень условных обозначений и сокращений</w:t>
      </w:r>
    </w:p>
    <w:p>
      <w:pPr>
        <w:pStyle w:val="13"/>
        <w:ind w:hanging="0" w:left="2890" w:right="0"/>
        <w:rPr>
          <w:b w:val="false"/>
          <w:sz w:val="28"/>
        </w:rPr>
      </w:pPr>
      <w:r>
        <w:rPr>
          <w:b w:val="false"/>
          <w:sz w:val="28"/>
        </w:rPr>
      </w:r>
    </w:p>
    <w:tbl>
      <w:tblPr>
        <w:tblStyle w:val="Style_9"/>
        <w:tblW w:w="10440" w:type="dxa"/>
        <w:jc w:val="left"/>
        <w:tblInd w:w="8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1"/>
        <w:gridCol w:w="7549"/>
      </w:tblGrid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Бланки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Бланки регистрации, бланки для записи ответов на задания КИМ для проведения ГВЭ, дополнительные бланки для записи  ответов на задания КИМ для проведения ГВЭ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Бланки ответов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Бланки для записи ответов на задания КИМ для проведения ГВЭ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ВДП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Возвратный доставочный пакет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ГВЭ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Государственный выпускной экзамен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ГИА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ГЭК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Государственная экзаменационная комиссия Камчатского края по проведению государственной итоговой аттестации по образовательным программам среднего общего образования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ДБО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Дополнительный бланк ответов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КИМ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Контрольные измерительные материалы, представляющие собой комплексы заданий стандартизированной формы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ПО</w:t>
            </w:r>
          </w:p>
        </w:tc>
        <w:tc>
          <w:tcPr>
            <w:tcW w:w="75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6"/>
                <w:szCs w:val="20"/>
              </w:rPr>
              <w:t>Программное обеспечение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Министерство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Министерство образования Камчатского края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Образовательная организация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Организация, осуществляющая образовательную деятельность по имеющим государственную аккредитацию образовательным программам среднего общего образования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ОВЗ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Ограниченные возможности здоровья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ПМПК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Психолого-медико-педагогическая комиссия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Порядок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просвещения Российской Федерации и Федеральной службы по надзору в сфере образования и науки от 4 апреля 2023 г. № 233/552 (зарегистрирован Министерством юстиции Российской Федерации 15 мая 2023 г., регистрационный № 73314)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ППЭ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Пункт проведения экзаменов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Работники ППЭ</w:t>
            </w:r>
          </w:p>
        </w:tc>
        <w:tc>
          <w:tcPr>
            <w:tcW w:w="7549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49" w:after="0"/>
              <w:ind w:hanging="12" w:left="39" w:right="145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Лица, привлекаемые к организации и проведению экзамена в ППЭ:</w:t>
            </w:r>
          </w:p>
          <w:p>
            <w:pPr>
              <w:pStyle w:val="TableParagraph1"/>
              <w:widowControl w:val="false"/>
              <w:suppressAutoHyphens w:val="true"/>
              <w:spacing w:lineRule="auto" w:line="240" w:before="0" w:after="0"/>
              <w:ind w:hanging="12" w:left="39" w:right="98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руководитель организации, в помещениях которой организован ППЭ, осуществляющий организационно- хозяйственную деятельность, или уполномоченное им лицо;</w:t>
            </w:r>
          </w:p>
          <w:p>
            <w:pPr>
              <w:pStyle w:val="TableParagraph1"/>
              <w:widowControl w:val="false"/>
              <w:suppressAutoHyphens w:val="true"/>
              <w:spacing w:lineRule="exact" w:line="298" w:before="0" w:after="0"/>
              <w:ind w:hanging="12" w:left="39" w:right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руководитель ППЭ;</w:t>
            </w:r>
          </w:p>
          <w:p>
            <w:pPr>
              <w:pStyle w:val="TableParagraph1"/>
              <w:widowControl w:val="false"/>
              <w:suppressAutoHyphens w:val="true"/>
              <w:spacing w:lineRule="auto" w:line="240" w:before="0" w:after="0"/>
              <w:ind w:hanging="12" w:left="39" w:right="1978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организаторы в аудиториях и вне аудиторий; члены ГЭК;</w:t>
            </w:r>
          </w:p>
          <w:p>
            <w:pPr>
              <w:pStyle w:val="TableParagraph1"/>
              <w:widowControl w:val="false"/>
              <w:suppressAutoHyphens w:val="true"/>
              <w:spacing w:lineRule="exact" w:line="298" w:before="1" w:after="0"/>
              <w:ind w:hanging="12" w:left="39" w:right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технические специалисты;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12" w:left="39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сотрудники, осуществляющие охрану правопорядка, и (или) сотрудники органов внутренних дел (полиции);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12" w:left="39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медицинские работники;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12" w:left="39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экзаменаторы-собеседники;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12" w:left="39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ассистенты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Рекомендации ПМПК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Оригинал или надлежащим образом заверенная копия рекомендаций психолого-медико-педагогической комиссии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Рособрнадзор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Федеральная служба по надзору в сфере образования и науки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РЦОИ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КГАУ «Камчатский центр информатизации и оценки качества образования», выполняющий функции регионального центра обработки информации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Сопровождающие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Представители образовательных организаций, сопровождающие участников ГВЭ до ППЭ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Справка, подтверждающая инвалидность</w:t>
            </w:r>
          </w:p>
        </w:tc>
        <w:tc>
          <w:tcPr>
            <w:tcW w:w="7549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44" w:after="0"/>
              <w:ind w:hanging="0" w:left="30" w:right="0"/>
              <w:jc w:val="left"/>
              <w:rPr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Оригинал или надлежащим образом заверенная копия справки, подтверждающей факт установления инвалидности, выданная федеральным государственным учреждением медико- социальной экспертизы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Черновики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Листы бумаги для черновиков со штампом образовательной организации, на базе, которой расположен ППЭ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Штаб ППЭ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Выделенное в ППЭ помещение, оборудованное телефонной связью, принтером и компьютером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Экстерны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Лица, осваивающие образовательные программы среднего общего образования в форме самообразования или семейного образования, либо лица, обучающиеся по не имеющим государственной аккредитации образовательным программам среднего общего образования, в том числе обучающиеся по образовательным программам среднего профессионального образования, получающие среднее общее образование по не имеющим государственную аккредитацию образовательным программам среднего общего образования, проходящие ГИА экстерном в организации, осуществляющей образовательную деятельность по имеющим государственную аккредитацию образовательным программам среднего общего образования</w:t>
            </w:r>
          </w:p>
        </w:tc>
      </w:tr>
      <w:tr>
        <w:trPr/>
        <w:tc>
          <w:tcPr>
            <w:tcW w:w="2891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ЭМ</w:t>
            </w:r>
          </w:p>
        </w:tc>
        <w:tc>
          <w:tcPr>
            <w:tcW w:w="7549" w:type="dxa"/>
            <w:tcBorders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Бланки регистрации, бланки для записи ответов на задания КИМ для проведения ГВЭ, дополнительные бланки для записи  ответов на задания КИМ для проведения ГВЭ, КИМ для проведения ГВЭ</w:t>
            </w:r>
          </w:p>
        </w:tc>
      </w:tr>
    </w:tbl>
    <w:p>
      <w:pPr>
        <w:pStyle w:val="Heading1"/>
        <w:numPr>
          <w:ilvl w:val="0"/>
          <w:numId w:val="20"/>
        </w:numPr>
        <w:ind w:firstLine="400" w:left="0" w:right="0"/>
        <w:rPr/>
      </w:pPr>
      <w:bookmarkStart w:id="0" w:name="__RefHeading___1"/>
      <w:bookmarkEnd w:id="0"/>
      <w:r>
        <w:rPr/>
        <w:t>Рекомендации по организации и проведению ГВЭ</w:t>
      </w:r>
    </w:p>
    <w:p>
      <w:pPr>
        <w:pStyle w:val="13"/>
        <w:ind w:hanging="0" w:left="576" w:right="0"/>
        <w:rPr>
          <w:sz w:val="28"/>
        </w:rPr>
      </w:pPr>
      <w:r>
        <w:rPr>
          <w:sz w:val="28"/>
        </w:rPr>
        <w:t>Таблица 1. Формы проведения ГВЭ, доступные для выбора участникам ГВЭ</w:t>
      </w:r>
    </w:p>
    <w:p>
      <w:pPr>
        <w:pStyle w:val="13"/>
        <w:ind w:hanging="0" w:left="576" w:right="0"/>
        <w:rPr>
          <w:b w:val="false"/>
          <w:sz w:val="28"/>
        </w:rPr>
      </w:pPr>
      <w:r>
        <w:rPr>
          <w:b w:val="false"/>
          <w:sz w:val="28"/>
        </w:rPr>
      </w:r>
    </w:p>
    <w:tbl>
      <w:tblPr>
        <w:tblStyle w:val="Style_9"/>
        <w:tblW w:w="10467" w:type="dxa"/>
        <w:jc w:val="left"/>
        <w:tblInd w:w="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4"/>
        <w:gridCol w:w="1636"/>
        <w:gridCol w:w="1009"/>
        <w:gridCol w:w="1582"/>
        <w:gridCol w:w="1576"/>
      </w:tblGrid>
      <w:tr>
        <w:trPr/>
        <w:tc>
          <w:tcPr>
            <w:tcW w:w="4664" w:type="dxa"/>
            <w:vMerge w:val="restart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Категория</w:t>
            </w:r>
          </w:p>
        </w:tc>
        <w:tc>
          <w:tcPr>
            <w:tcW w:w="5803" w:type="dxa"/>
            <w:gridSpan w:val="4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Доступные для выбора формы проведения ГВЭ</w:t>
            </w:r>
          </w:p>
        </w:tc>
      </w:tr>
      <w:tr>
        <w:trPr/>
        <w:tc>
          <w:tcPr>
            <w:tcW w:w="466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2645" w:type="dxa"/>
            <w:gridSpan w:val="2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Проведение ГВЭ</w:t>
            </w:r>
          </w:p>
        </w:tc>
        <w:tc>
          <w:tcPr>
            <w:tcW w:w="3158" w:type="dxa"/>
            <w:gridSpan w:val="2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Проведение ГВЭ по русскому языку (письменная форма)</w:t>
            </w:r>
          </w:p>
        </w:tc>
      </w:tr>
      <w:tr>
        <w:trPr/>
        <w:tc>
          <w:tcPr>
            <w:tcW w:w="466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1636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spacing w:val="0"/>
                <w:kern w:val="0"/>
                <w:sz w:val="24"/>
                <w:szCs w:val="20"/>
              </w:rPr>
              <w:t>Письменная</w:t>
            </w:r>
          </w:p>
        </w:tc>
        <w:tc>
          <w:tcPr>
            <w:tcW w:w="1009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spacing w:val="0"/>
                <w:kern w:val="0"/>
                <w:sz w:val="24"/>
                <w:szCs w:val="20"/>
              </w:rPr>
              <w:t>Устная</w:t>
            </w:r>
          </w:p>
        </w:tc>
        <w:tc>
          <w:tcPr>
            <w:tcW w:w="1582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spacing w:val="0"/>
                <w:kern w:val="0"/>
                <w:sz w:val="24"/>
                <w:szCs w:val="20"/>
              </w:rPr>
              <w:t>Сочинение</w:t>
            </w:r>
          </w:p>
        </w:tc>
        <w:tc>
          <w:tcPr>
            <w:tcW w:w="1576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spacing w:val="0"/>
                <w:kern w:val="0"/>
                <w:sz w:val="24"/>
                <w:szCs w:val="20"/>
              </w:rPr>
              <w:t>Диктант</w:t>
            </w:r>
          </w:p>
        </w:tc>
      </w:tr>
      <w:tr>
        <w:trPr/>
        <w:tc>
          <w:tcPr>
            <w:tcW w:w="4664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Обучающиеся в специальных учебно-воспитательных учреждениях закрытого типа, а также в учреждениях, исполняющих наказание в виде лишения свободы</w:t>
            </w:r>
          </w:p>
        </w:tc>
        <w:tc>
          <w:tcPr>
            <w:tcW w:w="1636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009" w:type="dxa"/>
            <w:tcBorders/>
            <w:shd w:fill="auto" w:val="clear"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нет</w:t>
            </w:r>
          </w:p>
        </w:tc>
        <w:tc>
          <w:tcPr>
            <w:tcW w:w="1582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нет</w:t>
            </w:r>
          </w:p>
        </w:tc>
      </w:tr>
      <w:tr>
        <w:trPr/>
        <w:tc>
          <w:tcPr>
            <w:tcW w:w="4664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Обучающиеся по образовательным программам среднего профессионального образования, получающие среднее общее образование по имеющим государственную аккредитацию образовательным программам среднего общего образования, в том числе по образовательным программам среднего профессионального образования, интегрированным с образовательными программами основного общего и среднего общего образования</w:t>
            </w:r>
          </w:p>
        </w:tc>
        <w:tc>
          <w:tcPr>
            <w:tcW w:w="1636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009" w:type="dxa"/>
            <w:tcBorders/>
            <w:shd w:fill="auto" w:val="clear"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нет</w:t>
            </w:r>
          </w:p>
        </w:tc>
        <w:tc>
          <w:tcPr>
            <w:tcW w:w="1582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нет</w:t>
            </w:r>
          </w:p>
        </w:tc>
      </w:tr>
      <w:tr>
        <w:trPr/>
        <w:tc>
          <w:tcPr>
            <w:tcW w:w="4664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Лица, обучающиеся по состоянию здоровья на дому, в медицинской организации (при предъявлении рекомендаций ПМПК. При организации экзамена на дому, в медицинской организации – заключение медицинской организации и рекомендации ПМПК)</w:t>
            </w:r>
          </w:p>
        </w:tc>
        <w:tc>
          <w:tcPr>
            <w:tcW w:w="1636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009" w:type="dxa"/>
            <w:tcBorders/>
            <w:shd w:fill="auto" w:val="clear"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582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нет</w:t>
            </w:r>
          </w:p>
        </w:tc>
      </w:tr>
      <w:tr>
        <w:trPr/>
        <w:tc>
          <w:tcPr>
            <w:tcW w:w="4664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Участники ГВЭ с ОВЗ, участники ГВЭ – дети-инвалиды и инвалиды:</w:t>
            </w:r>
          </w:p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с нарушениями опорно-двигательного аппарата;</w:t>
            </w:r>
          </w:p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глухие, слабослышащие, позднооглохшие и кохлеарно имплантированные;</w:t>
            </w:r>
          </w:p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слепые, слабовидящие и поздно- ослепшие;</w:t>
            </w:r>
          </w:p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участники ГВЭ, которым требуется создание особых условий (с диабетом, онкологическими заболеваниями, астмой и др.)</w:t>
            </w:r>
          </w:p>
        </w:tc>
        <w:tc>
          <w:tcPr>
            <w:tcW w:w="1636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009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582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нет</w:t>
            </w:r>
          </w:p>
        </w:tc>
      </w:tr>
      <w:tr>
        <w:trPr/>
        <w:tc>
          <w:tcPr>
            <w:tcW w:w="4664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Участники ГВЭ с ОВЗ, участники ГВЭ – дети-инвалиды и инвалиды с расстройствами аутистического спектра</w:t>
            </w:r>
          </w:p>
        </w:tc>
        <w:tc>
          <w:tcPr>
            <w:tcW w:w="1636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009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582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  <w:tc>
          <w:tcPr>
            <w:tcW w:w="1576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4"/>
              </w:rPr>
            </w:pPr>
            <w:r>
              <w:rPr>
                <w:b w:val="false"/>
                <w:spacing w:val="0"/>
                <w:kern w:val="0"/>
                <w:sz w:val="24"/>
                <w:szCs w:val="20"/>
              </w:rPr>
              <w:t>да</w:t>
            </w:r>
          </w:p>
        </w:tc>
      </w:tr>
    </w:tbl>
    <w:p>
      <w:pPr>
        <w:pStyle w:val="111"/>
        <w:ind w:firstLine="72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Heading2"/>
        <w:numPr>
          <w:ilvl w:val="1"/>
          <w:numId w:val="21"/>
        </w:numPr>
        <w:ind w:hanging="0" w:left="0" w:right="0"/>
        <w:rPr/>
      </w:pPr>
      <w:bookmarkStart w:id="1" w:name="__RefHeading___2"/>
      <w:bookmarkEnd w:id="1"/>
      <w:r>
        <w:rPr/>
        <w:t>Рекомендации по организации и проведению ГВЭ по русскому языку и математике</w:t>
      </w:r>
    </w:p>
    <w:p>
      <w:pPr>
        <w:pStyle w:val="Heading3"/>
        <w:numPr>
          <w:ilvl w:val="0"/>
          <w:numId w:val="19"/>
        </w:numPr>
        <w:ind w:hanging="0" w:left="0" w:right="0"/>
        <w:rPr/>
      </w:pPr>
      <w:bookmarkStart w:id="2" w:name="__RefHeading___3"/>
      <w:bookmarkEnd w:id="2"/>
      <w:r>
        <w:rPr/>
        <w:t>Особенности ГВЭ по русскому языку в письменной форме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 зависимости от выбора формата ГВЭ по русскому языку осуществляется рассадка участников ГВЭ по аудиториям.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При организации экзамена следует учесть, что для его проведения необходимы разные (отдельные) аудитории: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а) аудитория для проведения сочинения;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аудитория для проведения диктанта.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Участникам ГВЭ в письменной форме разрешается пользоваться орфографическими и толковыми словарями для установления нормативного написания слов и определения значения лексической единицы. Словари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 Пользоваться личными словарями участникам ГВЭ не рекомендуется в целях недопущения нарушения Порядка в части использования справочных материалов, письменных заметок и др.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Требования к орфографическому словарю, используемому на экзамене: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позволяет устанавливать нормативное написание слов;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включает не менее 15 000 слов;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издан не ранее 2009 года;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может содержать список имен, важнейшие орфографические правила.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Определение группы вариантов КИМ осуществляется индивидуально с учетом особых образовательных потребностей участников ГВЭ и индивидуальной ситуации развития (см. Таблицу 2).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 случае если участники ГВЭ имеют сопутствующие формы заболеваний (например, нарушения слуха и зрения), выбор группы вариантов КИМ по русскому языку определяется в том числе с учетом характеристик КИМ.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Ниже представлено рекомендуемое распределение групп вариантов КИМ в зависимости от категории нозологической группы:</w:t>
      </w:r>
    </w:p>
    <w:p>
      <w:pPr>
        <w:pStyle w:val="111"/>
        <w:ind w:firstLine="80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firstLine="80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3"/>
        <w:ind w:hanging="0" w:left="567" w:right="0"/>
        <w:jc w:val="center"/>
        <w:rPr>
          <w:sz w:val="28"/>
        </w:rPr>
      </w:pPr>
      <w:r>
        <w:rPr>
          <w:sz w:val="28"/>
        </w:rPr>
        <w:t>Таблица 2. Распределение КИМ в зависимости от категории участников ГВЭ по русскому языку</w:t>
      </w:r>
    </w:p>
    <w:tbl>
      <w:tblPr>
        <w:tblStyle w:val="Style_15"/>
        <w:tblW w:w="10418" w:type="dxa"/>
        <w:jc w:val="lef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407"/>
        <w:gridCol w:w="2645"/>
        <w:gridCol w:w="4366"/>
      </w:tblGrid>
      <w:tr>
        <w:trPr>
          <w:tblHeader w:val="true"/>
          <w:trHeight w:val="317" w:hRule="exact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pacing w:val="0"/>
                <w:kern w:val="0"/>
                <w:sz w:val="24"/>
                <w:szCs w:val="24"/>
              </w:rPr>
            </w:pPr>
            <w:r>
              <w:rPr>
                <w:b/>
                <w:spacing w:val="0"/>
                <w:kern w:val="0"/>
                <w:sz w:val="24"/>
                <w:szCs w:val="24"/>
              </w:rPr>
              <w:t>Характеристика ЭМ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pacing w:val="0"/>
                <w:kern w:val="0"/>
                <w:sz w:val="24"/>
                <w:szCs w:val="24"/>
              </w:rPr>
            </w:pPr>
            <w:r>
              <w:rPr>
                <w:b/>
                <w:spacing w:val="0"/>
                <w:kern w:val="0"/>
                <w:sz w:val="24"/>
                <w:szCs w:val="24"/>
              </w:rPr>
              <w:t>Номера вариантов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pacing w:val="0"/>
                <w:kern w:val="0"/>
                <w:sz w:val="24"/>
                <w:szCs w:val="24"/>
              </w:rPr>
            </w:pPr>
            <w:r>
              <w:rPr>
                <w:b/>
                <w:spacing w:val="0"/>
                <w:kern w:val="0"/>
                <w:sz w:val="24"/>
                <w:szCs w:val="24"/>
              </w:rPr>
              <w:t>Категории участников ГВЭ</w:t>
            </w:r>
          </w:p>
        </w:tc>
      </w:tr>
      <w:tr>
        <w:trPr>
          <w:trHeight w:val="1838" w:hRule="exact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pacing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4"/>
              </w:rPr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 xml:space="preserve">- </w:t>
            </w:r>
            <w:r>
              <w:rPr>
                <w:i/>
                <w:spacing w:val="0"/>
                <w:kern w:val="0"/>
                <w:sz w:val="24"/>
                <w:szCs w:val="24"/>
              </w:rPr>
              <w:t xml:space="preserve">100-е номера вариантов </w:t>
            </w:r>
            <w:r>
              <w:rPr>
                <w:spacing w:val="0"/>
                <w:kern w:val="0"/>
                <w:sz w:val="24"/>
                <w:szCs w:val="24"/>
              </w:rPr>
              <w:t>(сочинение)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439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Участники ГВЭ без ОВЗ;</w:t>
            </w:r>
          </w:p>
          <w:p>
            <w:pPr>
              <w:pStyle w:val="14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439" w:leader="none"/>
                <w:tab w:val="left" w:pos="710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Участники ГВЭ с нарушениями опорно-двигательного аппарата;</w:t>
            </w:r>
          </w:p>
          <w:p>
            <w:pPr>
              <w:pStyle w:val="14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439" w:leader="none"/>
                <w:tab w:val="left" w:pos="710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Иные категории участников ГВЭ, которым требуется создание особых условий (диабет, онкология, астма и др.).</w:t>
            </w:r>
          </w:p>
        </w:tc>
      </w:tr>
      <w:tr>
        <w:trPr>
          <w:trHeight w:val="1745" w:hRule="exact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В темах сочинений отсутствуют визуальные образы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Для слепых участников ГВЭ задания переводятся на рельефно-точечный шрифт Брайля (при необходимости)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 xml:space="preserve">- </w:t>
            </w:r>
            <w:r>
              <w:rPr>
                <w:i/>
                <w:spacing w:val="0"/>
                <w:kern w:val="0"/>
                <w:sz w:val="24"/>
                <w:szCs w:val="24"/>
              </w:rPr>
              <w:t xml:space="preserve">200-е номера вариантов </w:t>
            </w:r>
            <w:r>
              <w:rPr>
                <w:spacing w:val="0"/>
                <w:kern w:val="0"/>
                <w:sz w:val="24"/>
                <w:szCs w:val="24"/>
              </w:rPr>
              <w:t>(сочинение)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235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Слепые, поздноослепшие;</w:t>
            </w:r>
          </w:p>
          <w:p>
            <w:pPr>
              <w:pStyle w:val="14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269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Слабовидящие.</w:t>
            </w:r>
          </w:p>
        </w:tc>
      </w:tr>
      <w:tr>
        <w:trPr>
          <w:trHeight w:val="2291" w:hRule="exact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Более простые формулировки тем сочинений.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В темах сочинений отсутствуют звуковые образы.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Наличие инструкции для участников ГВЭ, в которой указаны особые требования к объёму сочинения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 xml:space="preserve">- </w:t>
            </w:r>
            <w:r>
              <w:rPr>
                <w:i/>
                <w:spacing w:val="0"/>
                <w:kern w:val="0"/>
                <w:sz w:val="24"/>
                <w:szCs w:val="24"/>
              </w:rPr>
              <w:t xml:space="preserve">300-е номера вариантов </w:t>
            </w:r>
            <w:r>
              <w:rPr>
                <w:spacing w:val="0"/>
                <w:kern w:val="0"/>
                <w:sz w:val="24"/>
                <w:szCs w:val="24"/>
              </w:rPr>
              <w:t>(сочинение)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439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Глухие, позднооглохшие;</w:t>
            </w:r>
          </w:p>
          <w:p>
            <w:pPr>
              <w:pStyle w:val="14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439" w:leader="none"/>
                <w:tab w:val="left" w:pos="720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Слабослышащие, кохлеарно имплантированные.</w:t>
            </w:r>
          </w:p>
        </w:tc>
      </w:tr>
      <w:tr>
        <w:trPr>
          <w:trHeight w:val="619" w:hRule="exact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Диктант с особыми критериями оценивания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 xml:space="preserve">- </w:t>
            </w:r>
            <w:r>
              <w:rPr>
                <w:i/>
                <w:spacing w:val="0"/>
                <w:kern w:val="0"/>
                <w:sz w:val="24"/>
                <w:szCs w:val="24"/>
              </w:rPr>
              <w:t xml:space="preserve">400-е номера вариантов </w:t>
            </w:r>
            <w:r>
              <w:rPr>
                <w:spacing w:val="0"/>
                <w:kern w:val="0"/>
                <w:sz w:val="24"/>
                <w:szCs w:val="24"/>
              </w:rPr>
              <w:t>(диктант)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pacing w:val="0"/>
                <w:kern w:val="0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</w:rPr>
              <w:t>Участники ГВЭ с расстройствами аутистического спектра.</w:t>
            </w:r>
          </w:p>
        </w:tc>
      </w:tr>
    </w:tbl>
    <w:p>
      <w:pPr>
        <w:pStyle w:val="111"/>
        <w:ind w:firstLine="80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Heading3"/>
        <w:numPr>
          <w:ilvl w:val="0"/>
          <w:numId w:val="19"/>
        </w:numPr>
        <w:ind w:hanging="0" w:left="0" w:right="0"/>
        <w:rPr/>
      </w:pPr>
      <w:bookmarkStart w:id="3" w:name="__RefHeading___4"/>
      <w:bookmarkEnd w:id="3"/>
      <w:r>
        <w:rPr/>
        <w:t>Особенности ГВЭ по русскому языку в устной форме</w:t>
      </w:r>
    </w:p>
    <w:p>
      <w:pPr>
        <w:pStyle w:val="BodyText"/>
        <w:spacing w:before="11" w:after="0"/>
        <w:rPr>
          <w:b/>
          <w:sz w:val="29"/>
        </w:rPr>
      </w:pPr>
      <w:r>
        <w:rPr>
          <w:b/>
          <w:sz w:val="29"/>
        </w:rPr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КИМ по русскому языку для ГВЭ в устной форме представляют собой экзаменационные билеты. Участникам ГВЭ предоставляется возможность выбора экзаменационного билета, при этом номера и содержание экзаменационных билетов не могут быть известны участнику ГВЭ в момент выбора экзаменационного билета из числа предложенных.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При проведении экзамена участник экзамена может пользоваться черновиком.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Heading3"/>
        <w:numPr>
          <w:ilvl w:val="0"/>
          <w:numId w:val="19"/>
        </w:numPr>
        <w:ind w:hanging="0" w:left="0" w:right="0"/>
        <w:rPr/>
      </w:pPr>
      <w:bookmarkStart w:id="4" w:name="__RefHeading___5"/>
      <w:bookmarkEnd w:id="4"/>
      <w:r>
        <w:rPr/>
        <w:t>Особенности ГВЭ по математике в письменной форме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Письменный экзамен ГВЭ по математике проводится в нескольких форматах в целях учета возможностей разных категорий его участников.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Участники ГВЭ могут быть распределены в одну аудиторию. В распределении обязательно указывается группа номеров вариантов КИМ.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При выполнении заданий ГВЭ по математике в письменной форме разрешается пользоваться линейкой для построения чертежей и рисунков. Линейка не должна содержать справочной информации.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Необходимые справочные материалы, содержащие основные формулы курса математики образовательной программы основного общего и среднего общего образования, выдаются вместе с КИМ. Пользоваться личными справочными материалами, содержащими основные формулы курса математики образовательной программы основного общего и среднего общего образования, участникам ГВЭ не рекомендуется в целях недопущения нарушения Порядка в части использования справочных материалов, письменных заметок и др.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Определение группы вариантов КИМ осуществляется индивидуально с учетом особых образовательных потребностей участников ГВЭ и индивидуальной ситуации развития (см. Таблицу 3).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 случае если участники ГВЭ имеют сопутствующие формы заболеваний (например, нарушения слуха и зрения) – выбор группы вариантов КИМ по математике определяется, в том числе с учетом характеристик КИМ.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Ниже представлено рекомендуемое распределение вариантов КИМ в зависимости от категории нозологической группы.</w:t>
      </w:r>
    </w:p>
    <w:p>
      <w:pPr>
        <w:pStyle w:val="111"/>
        <w:ind w:firstLine="80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3"/>
        <w:spacing w:before="0" w:after="240"/>
        <w:ind w:hanging="0" w:left="581" w:right="0"/>
        <w:jc w:val="center"/>
        <w:rPr>
          <w:sz w:val="28"/>
        </w:rPr>
      </w:pPr>
      <w:r>
        <w:rPr>
          <w:sz w:val="28"/>
        </w:rPr>
        <w:t>Таблица 3. Распределение КИМ по категориям участников ГВЭ по математике</w:t>
      </w:r>
    </w:p>
    <w:tbl>
      <w:tblPr>
        <w:tblStyle w:val="Style_15"/>
        <w:tblW w:w="10418" w:type="dxa"/>
        <w:jc w:val="lef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60"/>
        <w:gridCol w:w="3052"/>
        <w:gridCol w:w="4506"/>
      </w:tblGrid>
      <w:tr>
        <w:trPr>
          <w:trHeight w:val="312" w:hRule="exact"/>
        </w:trPr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/>
                <w:sz w:val="24"/>
              </w:rPr>
            </w:pPr>
            <w:r>
              <w:rPr>
                <w:b/>
                <w:spacing w:val="0"/>
                <w:kern w:val="0"/>
                <w:sz w:val="24"/>
                <w:szCs w:val="20"/>
              </w:rPr>
              <w:t>Характеристика ЭМ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/>
                <w:sz w:val="24"/>
              </w:rPr>
            </w:pPr>
            <w:r>
              <w:rPr>
                <w:b/>
                <w:spacing w:val="0"/>
                <w:kern w:val="0"/>
                <w:sz w:val="24"/>
                <w:szCs w:val="20"/>
              </w:rPr>
              <w:t>Номера вариантов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/>
                <w:sz w:val="24"/>
              </w:rPr>
            </w:pPr>
            <w:r>
              <w:rPr>
                <w:b/>
                <w:spacing w:val="0"/>
                <w:kern w:val="0"/>
                <w:sz w:val="24"/>
                <w:szCs w:val="20"/>
              </w:rPr>
              <w:t>Категории участников ГВЭ</w:t>
            </w:r>
          </w:p>
        </w:tc>
      </w:tr>
      <w:tr>
        <w:trPr>
          <w:trHeight w:val="3454" w:hRule="exact"/>
        </w:trPr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i/>
                <w:spacing w:val="0"/>
                <w:kern w:val="0"/>
                <w:sz w:val="24"/>
                <w:szCs w:val="20"/>
              </w:rPr>
              <w:t>100-е номера вариантов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tabs>
                <w:tab w:val="clear" w:pos="709"/>
                <w:tab w:val="left" w:pos="421" w:leader="none"/>
                <w:tab w:val="left" w:pos="677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1. Участники ГВЭ без ОВЗ;</w:t>
            </w:r>
          </w:p>
          <w:p>
            <w:pPr>
              <w:pStyle w:val="14"/>
              <w:widowControl w:val="false"/>
              <w:tabs>
                <w:tab w:val="clear" w:pos="709"/>
                <w:tab w:val="left" w:pos="421" w:leader="none"/>
                <w:tab w:val="left" w:pos="710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2. Глухие, позднооглохшие;</w:t>
            </w:r>
          </w:p>
          <w:p>
            <w:pPr>
              <w:pStyle w:val="TableParagraph1"/>
              <w:widowControl w:val="false"/>
              <w:tabs>
                <w:tab w:val="clear" w:pos="709"/>
                <w:tab w:val="left" w:pos="838" w:leader="none"/>
              </w:tabs>
              <w:suppressAutoHyphens w:val="true"/>
              <w:spacing w:lineRule="auto" w:line="240" w:before="1" w:after="0"/>
              <w:ind w:hanging="0" w:left="0" w:right="611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3. Слабослышащие, колехарно-имплантированные;</w:t>
            </w:r>
          </w:p>
          <w:p>
            <w:pPr>
              <w:pStyle w:val="14"/>
              <w:widowControl w:val="false"/>
              <w:tabs>
                <w:tab w:val="clear" w:pos="709"/>
                <w:tab w:val="left" w:pos="421" w:leader="none"/>
                <w:tab w:val="left" w:pos="706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4. С нарушениями опорно-двигательного аппарата;</w:t>
            </w:r>
          </w:p>
          <w:p>
            <w:pPr>
              <w:pStyle w:val="14"/>
              <w:widowControl w:val="false"/>
              <w:tabs>
                <w:tab w:val="clear" w:pos="709"/>
                <w:tab w:val="left" w:pos="421" w:leader="none"/>
                <w:tab w:val="left" w:pos="706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5. С расстройствами аутистического спектра;</w:t>
            </w:r>
          </w:p>
          <w:p>
            <w:pPr>
              <w:pStyle w:val="TableParagraph1"/>
              <w:widowControl w:val="false"/>
              <w:tabs>
                <w:tab w:val="clear" w:pos="709"/>
                <w:tab w:val="left" w:pos="643" w:leader="none"/>
              </w:tabs>
              <w:suppressAutoHyphens w:val="true"/>
              <w:spacing w:lineRule="auto" w:line="240" w:before="0" w:after="0"/>
              <w:ind w:hanging="0" w:left="0" w:right="406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6. С Иные категории участников ГВЭ, которым требуется создание</w:t>
            </w:r>
            <w:r>
              <w:rPr>
                <w:spacing w:val="-4"/>
                <w:kern w:val="0"/>
                <w:sz w:val="24"/>
                <w:szCs w:val="20"/>
              </w:rPr>
              <w:t xml:space="preserve"> </w:t>
            </w:r>
            <w:r>
              <w:rPr>
                <w:spacing w:val="0"/>
                <w:kern w:val="0"/>
                <w:sz w:val="24"/>
                <w:szCs w:val="20"/>
              </w:rPr>
              <w:t>особых условий (диабет, онкология, астма и др.)</w:t>
            </w:r>
          </w:p>
        </w:tc>
      </w:tr>
      <w:tr>
        <w:trPr>
          <w:trHeight w:val="2411" w:hRule="exact"/>
        </w:trPr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TableParagraph1"/>
              <w:widowControl w:val="false"/>
              <w:suppressAutoHyphens w:val="true"/>
              <w:spacing w:lineRule="auto" w:line="240" w:before="0" w:after="0"/>
              <w:ind w:hanging="2" w:left="2" w:right="112"/>
              <w:jc w:val="center"/>
              <w:rPr>
                <w:b/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Визуальные образы в тексте КИМ сведены к минимуму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2" w:left="2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Для слепых участников ГВЭ задания переводятся на рельефно-точечный шрифт Брайля (при необходимости)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i/>
                <w:spacing w:val="0"/>
                <w:kern w:val="0"/>
                <w:sz w:val="24"/>
                <w:szCs w:val="20"/>
              </w:rPr>
              <w:t>200-е номера вариантов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14"/>
              <w:widowControl w:val="false"/>
              <w:numPr>
                <w:ilvl w:val="0"/>
                <w:numId w:val="4"/>
              </w:numPr>
              <w:tabs>
                <w:tab w:val="clear" w:pos="709"/>
                <w:tab w:val="left" w:pos="226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Слепые, поздноослепшие;</w:t>
            </w:r>
          </w:p>
          <w:p>
            <w:pPr>
              <w:pStyle w:val="14"/>
              <w:widowControl w:val="false"/>
              <w:numPr>
                <w:ilvl w:val="0"/>
                <w:numId w:val="4"/>
              </w:numPr>
              <w:tabs>
                <w:tab w:val="clear" w:pos="709"/>
                <w:tab w:val="left" w:pos="259" w:leader="none"/>
              </w:tabs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Слабовидящие.</w:t>
            </w:r>
          </w:p>
        </w:tc>
      </w:tr>
    </w:tbl>
    <w:p>
      <w:pPr>
        <w:pStyle w:val="Normal"/>
        <w:spacing w:lineRule="exact" w:line="1" w:before="0" w:after="27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Heading3"/>
        <w:numPr>
          <w:ilvl w:val="0"/>
          <w:numId w:val="19"/>
        </w:numPr>
        <w:ind w:hanging="0" w:left="0" w:right="0"/>
        <w:rPr/>
      </w:pPr>
      <w:bookmarkStart w:id="5" w:name="__RefHeading___6"/>
      <w:bookmarkEnd w:id="5"/>
      <w:r>
        <w:rPr/>
        <w:t>Особенности ГВЭ по математике в устной форме</w:t>
      </w:r>
    </w:p>
    <w:p>
      <w:pPr>
        <w:pStyle w:val="111"/>
        <w:ind w:firstLine="799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КИМ по математике для ГВЭ в устной форме представляют собой 15 экзаменационных билетов. Участникам ГВЭ предоставляется возможность выбора экзаменационного билета, при этом номера и содержание экзаменационных билетов не могут быть известны участнику ГВЭ в момент выбора экзаменационного билета из числа предложенных.</w:t>
      </w:r>
      <w:bookmarkStart w:id="6" w:name="bookmark14"/>
      <w:bookmarkStart w:id="7" w:name="bookmark15"/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При проведении экзамена участник экзамена может пользоваться черновиком.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Heading2"/>
        <w:numPr>
          <w:ilvl w:val="1"/>
          <w:numId w:val="21"/>
        </w:numPr>
        <w:ind w:hanging="0" w:left="0" w:right="0"/>
        <w:rPr/>
      </w:pPr>
      <w:bookmarkStart w:id="8" w:name="__RefHeading___7"/>
      <w:bookmarkEnd w:id="8"/>
      <w:r>
        <w:rPr/>
        <w:t>Печать бланков ГВЭ</w:t>
      </w:r>
      <w:bookmarkEnd w:id="6"/>
      <w:bookmarkEnd w:id="7"/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Печать бланков выполняется автоматизировано средствами ПО «Планирование ГИА» в РЦОИ. В отдельных случаях бланки могут быть распечатаны непосредственно в Штабе ППЭ. Копирование бланков запрещено.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Комплект бланков (письменная и устная формы) каждого участника ГВЭ состоит из бланка регистрации, бланка ответов, ДБО. Описание и правила заполнения бланков содержатся в «Правилах заполнения бланков государственной итоговой аттестации по образовательным программам среднего общего образования в форме единого государственного экзамена и государственного выпускного экзамена в 2026 году».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Бланк ответов для устной формы экзамена необходим для полноценной обработки всего комплекта бланков, а также для внесения информации об идентификаторе аудиозаписи устного ответа участника ГВЭ. Количество комплектов бланков, необходимых для проведения экзамена, определяется по количеству участников ГВЭ, распределенных в ППЭ на соответствующий экзамен.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Бланк регистрации и бланк ответов одного комплекта связаны кодом работы, который автоматически заполняется при печати бланков. При печати комплектов необходимо убедиться, что код работы, указанный на бланке регистрации, и код работы на бланке ответов совпадают.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При подсчете количества комплектов бланков для проведения экзамена необходимо предусмотреть наличие резервных комплектов из расчета 3 резервных комплекта на 10 участников ГВЭ, распределенных в ППЭ.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После печати комплектов бланков выполняется печать ДБО (при проведении ГВЭ в устной форме ДБО не печатаются). Максимальное количество ДБО на один комплект бланков (бланк регистрации и бланк ответов) не превышает 10.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Информация для заполнения полей верхней части ДБО должна полностью соответствовать информации бланка регистрации. Код работы на ДБО не указан, при проведении экзамена код работы (вместе с номером листа) указывается организатором в аудитории при выдаче ДБО участнику ГВЭ.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 поле «Лист №» при выдаче ДБО организатор в аудитории вносит порядковый номер листа работ ы участника ГВЭ (при этом листом № 1 является основной бланк ответов, который участник ГВЭ получил в составе индивидуального комплекта). Организатор в аудитории проверяет правильность заполнения участником ГВЭ ДБО.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Heading1"/>
        <w:numPr>
          <w:ilvl w:val="0"/>
          <w:numId w:val="0"/>
        </w:numPr>
        <w:ind w:hanging="0" w:left="0" w:right="0"/>
        <w:rPr/>
      </w:pPr>
      <w:bookmarkStart w:id="9" w:name="__RefHeading___8"/>
      <w:bookmarkEnd w:id="9"/>
      <w:r>
        <w:rPr/>
        <w:t>2. Инструктивные материалы для лиц, привлекаемых к проведению ГВЭ в ППЭ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Heading2"/>
        <w:numPr>
          <w:ilvl w:val="0"/>
          <w:numId w:val="5"/>
        </w:numPr>
        <w:ind w:hanging="0" w:left="0" w:right="0"/>
        <w:rPr/>
      </w:pPr>
      <w:bookmarkStart w:id="10" w:name="__RefHeading___9"/>
      <w:bookmarkEnd w:id="10"/>
      <w:r>
        <w:rPr/>
        <w:t>Инструкция для члена ГЭК</w:t>
      </w:r>
    </w:p>
    <w:p>
      <w:pPr>
        <w:pStyle w:val="Heading2"/>
        <w:numPr>
          <w:ilvl w:val="0"/>
          <w:numId w:val="0"/>
        </w:numPr>
        <w:spacing w:before="0" w:after="0"/>
        <w:ind w:hanging="0" w:left="0" w:right="0"/>
        <w:jc w:val="left"/>
        <w:rPr/>
      </w:pPr>
      <w:r>
        <w:rPr/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Член ГЭК обеспечивает соблюдение требований Порядка, в том числе: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по решению председателя ГЭК не позднее чем за две недели до начала экзаменов проводит проверку готовности ППЭ;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осуществляет контроль за соблюдением требований Порядка в ППЭ;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в день проведения ГВЭ по соответствующему учебному предмету обеспечивает доставку ЭМ на бумажных носителях, упакованных в специальные пакеты, и (или) на электронных носителях с обеспечением конфиденциальности и безопасности содержащейся в них информации;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г) получает от РЦОИ данные для доступа к ЭМ, полученным на электронных носителях, для организации их печати на бумажные носители;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д) получает от РЦОИ данные для доступа к ЭМ в электронном и зашифрованном виде, полученным посредством сети «Интернет», для организации их печати на бумажные носители;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е) осуществляет взаимодействие с лицами, присутствующими в ППЭ, по обеспечению соблюдения требований Порядка;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ж) в случае выявления нарушений Порядка принимает решение об удалении из ППЭ участников ГВЭ, а также иных лиц (в том числе неустановленных), находящихся в ППЭ;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з) по согласованию с председателем ГЭК принимает решение об остановке экзамена в ППЭ или отдельных аудиториях ППЭ.</w:t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Член ГЭК несет ответственность за: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целостность, полноту и сохранность ЭМ при передаче их в ППЭ в день экзамена и из ППЭ в РЦОИ для последующей обработки;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своевременность проведения проверки фактов нарушения Порядка в ППЭ, в том числе в случае подачи участником ГВЭ апелляции о нарушении Порядка;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соблюдение информационной безопасности на всех этапах проведения ГВЭ.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Член ГЭК фиксирует все случаи нарушения Порядка в ППЭ.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spacing w:before="0" w:after="240"/>
        <w:ind w:hanging="0" w:left="0" w:right="0"/>
        <w:jc w:val="center"/>
        <w:rPr>
          <w:sz w:val="28"/>
        </w:rPr>
      </w:pPr>
      <w:r>
        <w:rPr>
          <w:b/>
          <w:sz w:val="28"/>
        </w:rPr>
        <w:t>Подготовка к проведению ГВЭ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Член ГЭК проходит подготовку по порядку исполнения своих обязанностей в период проведения ГВЭ, в том числе: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знакомится с нормативными правовыми актами, регламентирующими порядок проведения ГИА, рекомендуемыми к использованию при организации и проведении ГИА;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б) знакомится с инструкцией, определяющей порядок работы члена ГЭК в ППЭ.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b/>
          <w:sz w:val="28"/>
        </w:rPr>
        <w:t>На подготовительном этапе проведения ГВЭ член ГЭК</w:t>
      </w:r>
      <w:r>
        <w:rPr>
          <w:sz w:val="28"/>
        </w:rPr>
        <w:t xml:space="preserve"> проводит проверку готовности ППЭ </w:t>
      </w:r>
      <w:r>
        <w:rPr>
          <w:b/>
          <w:sz w:val="28"/>
        </w:rPr>
        <w:t>не позднее чем за две недели</w:t>
      </w:r>
      <w:r>
        <w:rPr>
          <w:sz w:val="28"/>
        </w:rPr>
        <w:t xml:space="preserve"> до начала экзаменов (по решению председателя ГЭК).</w:t>
      </w:r>
    </w:p>
    <w:tbl>
      <w:tblPr>
        <w:tblStyle w:val="Style_9"/>
        <w:tblW w:w="1052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7"/>
      </w:tblGrid>
      <w:tr>
        <w:trPr/>
        <w:tc>
          <w:tcPr>
            <w:tcW w:w="10527" w:type="dxa"/>
            <w:tcBorders/>
          </w:tcPr>
          <w:p>
            <w:pPr>
              <w:pStyle w:val="BodyText"/>
              <w:widowControl w:val="false"/>
              <w:suppressAutoHyphens w:val="true"/>
              <w:spacing w:lineRule="auto" w:line="240" w:before="0" w:after="0"/>
              <w:ind w:firstLine="708" w:left="93" w:right="94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Члену ГЭК необходимо помнить, что экзамен проводится в спокойной и доброжелательной обстановке.</w:t>
            </w:r>
          </w:p>
          <w:p>
            <w:pPr>
              <w:pStyle w:val="Normal"/>
              <w:widowControl w:val="false"/>
              <w:suppressAutoHyphens w:val="true"/>
              <w:spacing w:lineRule="exact" w:line="298" w:before="7" w:after="0"/>
              <w:ind w:hanging="0" w:left="802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 xml:space="preserve">В день проведения экзамена члену ГЭК в ППЭ </w:t>
            </w:r>
            <w:r>
              <w:rPr>
                <w:rFonts w:ascii="Times New Roman" w:hAnsi="Times New Roman"/>
                <w:b/>
                <w:spacing w:val="0"/>
                <w:kern w:val="0"/>
                <w:sz w:val="28"/>
                <w:szCs w:val="20"/>
              </w:rPr>
              <w:t>запрещается</w:t>
            </w: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:</w:t>
            </w:r>
          </w:p>
          <w:p>
            <w:pPr>
              <w:pStyle w:val="BodyText"/>
              <w:widowControl w:val="false"/>
              <w:suppressAutoHyphens w:val="true"/>
              <w:spacing w:lineRule="auto" w:line="240" w:before="0" w:after="0"/>
              <w:ind w:firstLine="708" w:left="93" w:right="97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а) оказывать содействие участникам экзаменов,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      </w:r>
          </w:p>
          <w:p>
            <w:pPr>
              <w:pStyle w:val="BodyText"/>
              <w:widowControl w:val="false"/>
              <w:suppressAutoHyphens w:val="true"/>
              <w:spacing w:lineRule="auto" w:line="216" w:before="28" w:after="0"/>
              <w:ind w:firstLine="708" w:left="93" w:right="101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б) выносить из аудиторий и ППЭ черновики, ЭМ на бумажном и (или) электронном носителях;</w:t>
            </w:r>
          </w:p>
          <w:p>
            <w:pPr>
              <w:pStyle w:val="BodyText"/>
              <w:widowControl w:val="false"/>
              <w:suppressAutoHyphens w:val="true"/>
              <w:spacing w:lineRule="exact" w:line="281" w:before="0" w:after="0"/>
              <w:ind w:hanging="0" w:left="802" w:right="0"/>
              <w:jc w:val="left"/>
              <w:rPr>
                <w:color w:val="000000"/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в) фотографировать ЭМ, черновики;</w:t>
            </w:r>
          </w:p>
          <w:p>
            <w:pPr>
              <w:pStyle w:val="BodyText"/>
              <w:widowControl w:val="false"/>
              <w:suppressAutoHyphens w:val="true"/>
              <w:spacing w:lineRule="exact" w:line="298" w:before="23" w:after="0"/>
              <w:ind w:firstLine="708" w:left="93" w:right="92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г) покидать ППЭ в день проведения экзамена</w:t>
            </w:r>
            <w:r>
              <w:rPr>
                <w:rStyle w:val="FootnoteReference"/>
                <w:spacing w:val="0"/>
                <w:kern w:val="0"/>
                <w:sz w:val="28"/>
                <w:szCs w:val="20"/>
                <w:vertAlign w:val="superscript"/>
              </w:rPr>
              <w:footnoteReference w:id="2"/>
            </w:r>
            <w:r>
              <w:rPr>
                <w:color w:val="000000"/>
                <w:spacing w:val="0"/>
                <w:kern w:val="0"/>
                <w:sz w:val="28"/>
                <w:szCs w:val="20"/>
              </w:rPr>
              <w:t xml:space="preserve"> (до окончания процедур, предусмотренных Порядком);</w:t>
            </w:r>
          </w:p>
          <w:p>
            <w:pPr>
              <w:pStyle w:val="BodyText"/>
              <w:widowControl w:val="false"/>
              <w:suppressAutoHyphens w:val="true"/>
              <w:spacing w:lineRule="auto" w:line="228" w:before="15" w:after="0"/>
              <w:ind w:firstLine="708" w:left="93" w:right="95"/>
              <w:jc w:val="both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д) пользоваться средствами связи, электронно-вычислительной техникой, фото-, аудио- и видеоаппаратурой, справочными материалами, письменными заметками и иными средствами хранения и передачи информации вне Штаба ППЭ</w:t>
            </w:r>
            <w:r>
              <w:rPr>
                <w:rStyle w:val="FootnoteReference"/>
                <w:spacing w:val="0"/>
                <w:kern w:val="0"/>
                <w:sz w:val="28"/>
                <w:szCs w:val="20"/>
                <w:vertAlign w:val="superscript"/>
              </w:rPr>
              <w:footnoteReference w:id="3"/>
            </w:r>
            <w:r>
              <w:rPr>
                <w:color w:val="000000"/>
                <w:spacing w:val="0"/>
                <w:kern w:val="0"/>
                <w:sz w:val="28"/>
                <w:szCs w:val="20"/>
              </w:rPr>
              <w:t>.</w:t>
            </w:r>
          </w:p>
        </w:tc>
      </w:tr>
    </w:tbl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BodyText"/>
        <w:spacing w:before="67" w:after="0"/>
        <w:ind w:firstLine="708" w:left="0" w:right="115"/>
        <w:jc w:val="both"/>
        <w:rPr>
          <w:sz w:val="28"/>
        </w:rPr>
      </w:pPr>
      <w:r>
        <w:rPr>
          <w:sz w:val="28"/>
        </w:rPr>
        <w:t>В</w:t>
      </w:r>
      <w:r>
        <w:rPr>
          <w:sz w:val="28"/>
          <w:highlight w:val="white"/>
        </w:rPr>
        <w:t xml:space="preserve"> день проведения ГВЭ </w:t>
      </w:r>
      <w:r>
        <w:rPr>
          <w:b/>
          <w:sz w:val="28"/>
          <w:highlight w:val="white"/>
        </w:rPr>
        <w:t xml:space="preserve">не позднее 09.00 по местному времени </w:t>
      </w:r>
      <w:r>
        <w:rPr>
          <w:sz w:val="28"/>
          <w:highlight w:val="white"/>
        </w:rPr>
        <w:t xml:space="preserve">член ГЭК </w:t>
      </w:r>
      <w:r>
        <w:rPr>
          <w:sz w:val="28"/>
        </w:rPr>
        <w:t>обеспечивает доставку ЭМ в ППЭ (в случае если ЭМ на бумажных носителях), передает ЭМ руководителю ППЭ, а также осуществляет контроль хранения ЭМ до начала экзамена.</w:t>
      </w:r>
    </w:p>
    <w:p>
      <w:pPr>
        <w:pStyle w:val="BodyText"/>
        <w:spacing w:lineRule="auto" w:line="252" w:before="13" w:after="0"/>
        <w:ind w:firstLine="708" w:left="0" w:right="117"/>
        <w:jc w:val="both"/>
        <w:rPr>
          <w:sz w:val="28"/>
        </w:rPr>
      </w:pPr>
      <w:r>
        <w:rPr>
          <w:b/>
          <w:sz w:val="28"/>
        </w:rPr>
        <w:t xml:space="preserve">Член ГЭК также доставляет в ППЭ вместе с ЭМ: </w:t>
      </w:r>
      <w:r>
        <w:rPr>
          <w:sz w:val="28"/>
        </w:rPr>
        <w:t>пакет руководителя ППЭ (акты, протоколы, формы апелляции, списки распределения участников ГВЭ и работников ППЭ, ведомости, отчеты и др.), ВДП для упаковки бланков после проведения экзамена.</w:t>
      </w:r>
    </w:p>
    <w:p>
      <w:pPr>
        <w:pStyle w:val="BodyText"/>
        <w:spacing w:lineRule="auto" w:line="252" w:before="1" w:after="0"/>
        <w:ind w:firstLine="708" w:left="0" w:right="127"/>
        <w:jc w:val="both"/>
        <w:rPr>
          <w:sz w:val="28"/>
        </w:rPr>
      </w:pPr>
      <w:r>
        <w:rPr>
          <w:sz w:val="28"/>
        </w:rPr>
        <w:t>Оставляет все свои личные вещи в месте для хранения личных вещей, организованном в Штабе ППЭ.</w:t>
      </w:r>
    </w:p>
    <w:p>
      <w:pPr>
        <w:pStyle w:val="Normal"/>
        <w:spacing w:lineRule="auto" w:line="240" w:before="11" w:after="0"/>
        <w:ind w:firstLine="708" w:left="112" w:right="123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 случае направления ЭМ в электронном и зашифрованном виде посредством сети «Интернет» или на электронных носителях член ГЭК</w:t>
      </w:r>
      <w:r>
        <w:rPr>
          <w:rFonts w:ascii="Times New Roman" w:hAnsi="Times New Roman"/>
          <w:color w:val="000000"/>
          <w:sz w:val="28"/>
        </w:rPr>
        <w:t xml:space="preserve"> получает от РЦОИ данные для доступа к ЭМ для организации их печати на бумажные носители.</w:t>
      </w:r>
    </w:p>
    <w:p>
      <w:pPr>
        <w:pStyle w:val="BodyText"/>
        <w:spacing w:lineRule="auto" w:line="252" w:before="1" w:after="0"/>
        <w:ind w:firstLine="708" w:left="0" w:right="121"/>
        <w:jc w:val="both"/>
        <w:rPr>
          <w:sz w:val="28"/>
        </w:rPr>
      </w:pPr>
      <w:r>
        <w:rPr>
          <w:b/>
          <w:sz w:val="28"/>
        </w:rPr>
        <w:t>В случае печати ЭМ в Штабе ППЭ</w:t>
      </w:r>
      <w:r>
        <w:rPr>
          <w:sz w:val="28"/>
        </w:rPr>
        <w:t>: присутствует совместно с руководителем ППЭ, общественными наблюдателями (при наличии) при организации техническим специалистом печати ЭМ на бумажные носители.</w:t>
      </w:r>
    </w:p>
    <w:p>
      <w:pPr>
        <w:pStyle w:val="BodyText"/>
        <w:spacing w:lineRule="auto" w:line="252" w:before="6" w:after="0"/>
        <w:ind w:firstLine="708" w:left="0" w:right="122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before="0" w:after="240"/>
        <w:ind w:hanging="0" w:left="153" w:right="16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Во время экзамена</w:t>
      </w:r>
    </w:p>
    <w:p>
      <w:pPr>
        <w:pStyle w:val="ListParagraph1"/>
        <w:numPr>
          <w:ilvl w:val="0"/>
          <w:numId w:val="6"/>
        </w:numPr>
        <w:tabs>
          <w:tab w:val="clear" w:pos="709"/>
          <w:tab w:val="left" w:pos="1112" w:leader="none"/>
        </w:tabs>
        <w:spacing w:lineRule="auto" w:line="252" w:before="2" w:after="0"/>
        <w:ind w:firstLine="709" w:left="0" w:right="117"/>
        <w:jc w:val="both"/>
        <w:rPr>
          <w:sz w:val="28"/>
        </w:rPr>
      </w:pPr>
      <w:r>
        <w:rPr>
          <w:b/>
          <w:sz w:val="28"/>
        </w:rPr>
        <w:t>В случае если участник ГВЭ опоздал на экзамен</w:t>
      </w:r>
      <w:r>
        <w:rPr>
          <w:rStyle w:val="FootnoteReference"/>
          <w:sz w:val="28"/>
          <w:vertAlign w:val="superscript"/>
        </w:rPr>
        <w:footnoteReference w:id="4"/>
      </w:r>
      <w:r>
        <w:rPr>
          <w:sz w:val="28"/>
        </w:rPr>
        <w:t xml:space="preserve"> – допускает участника ГВЭ в ППЭ к сдаче экзамена, при этом указывает участнику ГВЭ на то, что время окончания экзамена, зафиксированное на доске (информационном стенде) организаторами, не продлевается, инструктаж, проводимый организаторами, не проводится (за исключением, когда в аудитории нет других участников ГВЭ). Составляется акт об опоздании участника ГВЭ в двух экземплярах. Указанный акт подписывает участник ГВЭ, руководитель ППЭ и член ГЭК, один акт передается участнику ГВЭ, второй остается в ППЭ. </w:t>
      </w:r>
    </w:p>
    <w:p>
      <w:pPr>
        <w:pStyle w:val="111"/>
        <w:numPr>
          <w:ilvl w:val="0"/>
          <w:numId w:val="6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b/>
          <w:sz w:val="28"/>
        </w:rPr>
        <w:t>в случае если в течение двух часов от начала экзамена ни один из участников ГВЭ, распределенных в ППЭ и (или) отдельные аудитории ППЭ, не явился в ППЭ (отдельные аудитории ППЭ),</w:t>
      </w:r>
      <w:r>
        <w:rPr>
          <w:sz w:val="28"/>
        </w:rPr>
        <w:t xml:space="preserve"> – по согласованию с председателем ГЭК принимает решение об остановке экзамена в ППЭ или отдельных аудиториях ППЭ. По факту остановки экзамена в ППЭ или отдельных аудиториях ППЭ составляет акт, который в тот же день передается председателю ГЭК для принятия решения о повторном допуске таких участников ГВЭ к сдаче экзамена по соответствующему учебному предмету;</w:t>
      </w:r>
    </w:p>
    <w:p>
      <w:pPr>
        <w:pStyle w:val="111"/>
        <w:numPr>
          <w:ilvl w:val="0"/>
          <w:numId w:val="6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присутствует в аудитории при организации копирования в увеличенном размере ЭМ для слабовидящих участников ГВЭ с ОВЗ, слабовидящих участников ГВЭ – детей-инвалидов и инвалидов;</w:t>
      </w:r>
    </w:p>
    <w:p>
      <w:pPr>
        <w:pStyle w:val="111"/>
        <w:numPr>
          <w:ilvl w:val="0"/>
          <w:numId w:val="6"/>
        </w:numPr>
        <w:ind w:firstLine="709" w:left="0" w:right="0"/>
        <w:jc w:val="both"/>
        <w:rPr>
          <w:sz w:val="28"/>
        </w:rPr>
      </w:pPr>
      <w:r>
        <w:rPr>
          <w:sz w:val="28"/>
        </w:rPr>
        <w:t>контролирует соблюдение Порядка в ППЭ, в том числе не допускает иметь при себе в ППЭ участникам ГВЭ, организаторам, ассистентам, медицинским работникам, экзаменаторам-собеседникам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</w:t>
      </w:r>
    </w:p>
    <w:p>
      <w:pPr>
        <w:pStyle w:val="111"/>
        <w:numPr>
          <w:ilvl w:val="0"/>
          <w:numId w:val="6"/>
        </w:numPr>
        <w:ind w:firstLine="709" w:left="0" w:right="0"/>
        <w:jc w:val="both"/>
        <w:rPr>
          <w:sz w:val="28"/>
        </w:rPr>
      </w:pPr>
      <w:r>
        <w:rPr>
          <w:sz w:val="28"/>
        </w:rPr>
        <w:t>не допускает использование средств связи, электронно-вычислительной техники, фото-, аудио- и видеоаппаратуры, справочных материалов, письменных заметок и иных средств хранения и передачи информации руководителем организации, в помещениях которой организован ППЭ, или уполномоченным им лицом, руководителем ППЭ, членами ГЭК, техническими специалистами, сотрудниками, осуществляющими охрану правопорядка, и (или) сотрудниками органов внутренних дел (полиции), аккредитованными представителями средств массовой информации и общественными наблюдателями, должностными лицами Рособрнадзора, иными лицами, определенными Рособрнадзором, должностными лицами Министерства, вне Штаба ППЭ и в личных целях;</w:t>
      </w:r>
    </w:p>
    <w:p>
      <w:pPr>
        <w:pStyle w:val="111"/>
        <w:numPr>
          <w:ilvl w:val="0"/>
          <w:numId w:val="6"/>
        </w:numPr>
        <w:ind w:firstLine="709" w:left="0" w:right="0"/>
        <w:jc w:val="both"/>
        <w:rPr>
          <w:b/>
          <w:sz w:val="28"/>
        </w:rPr>
      </w:pPr>
      <w:r>
        <w:rPr>
          <w:b/>
          <w:sz w:val="28"/>
        </w:rPr>
        <w:t>в случае нарушения требований Порядка:</w:t>
      </w:r>
    </w:p>
    <w:p>
      <w:pPr>
        <w:pStyle w:val="111"/>
        <w:numPr>
          <w:ilvl w:val="0"/>
          <w:numId w:val="7"/>
        </w:numPr>
        <w:ind w:firstLine="709" w:left="0" w:right="0"/>
        <w:jc w:val="both"/>
        <w:rPr>
          <w:sz w:val="28"/>
        </w:rPr>
      </w:pPr>
      <w:r>
        <w:rPr>
          <w:sz w:val="28"/>
        </w:rPr>
        <w:t>при установлении фактов нарушения Порядка составляет акт об удалении из ППЭ по форме ППЭ-21 «Акт об удалении участника экзамена из ППЭ» (с приложениями) в двух экземплярах в Штабе ППЭ в зоне видимости камер видеонаблюдения, в том числе совместно с руководителем ППЭ, организатором и общественным наблюдателем (при наличии);</w:t>
      </w:r>
    </w:p>
    <w:p>
      <w:pPr>
        <w:pStyle w:val="111"/>
        <w:numPr>
          <w:ilvl w:val="0"/>
          <w:numId w:val="7"/>
        </w:numPr>
        <w:ind w:firstLine="709" w:left="0" w:right="0"/>
        <w:jc w:val="both"/>
        <w:rPr>
          <w:sz w:val="28"/>
        </w:rPr>
      </w:pPr>
      <w:r>
        <w:rPr>
          <w:sz w:val="28"/>
        </w:rPr>
        <w:t xml:space="preserve">выдает один экземпляр акта об удалении из ППЭ лицу, нарушившему Порядок; </w:t>
      </w:r>
    </w:p>
    <w:p>
      <w:pPr>
        <w:pStyle w:val="111"/>
        <w:numPr>
          <w:ilvl w:val="0"/>
          <w:numId w:val="7"/>
        </w:numPr>
        <w:ind w:firstLine="709" w:left="0" w:right="0"/>
        <w:jc w:val="both"/>
        <w:rPr>
          <w:sz w:val="28"/>
        </w:rPr>
      </w:pPr>
      <w:r>
        <w:rPr>
          <w:sz w:val="28"/>
        </w:rPr>
        <w:t>удаляет лиц, допустивших нарушение требований Порядка, из ППЭ;</w:t>
      </w:r>
    </w:p>
    <w:p>
      <w:pPr>
        <w:pStyle w:val="111"/>
        <w:numPr>
          <w:ilvl w:val="0"/>
          <w:numId w:val="7"/>
        </w:numPr>
        <w:ind w:firstLine="709" w:left="0" w:right="0"/>
        <w:jc w:val="both"/>
        <w:rPr>
          <w:sz w:val="28"/>
        </w:rPr>
      </w:pPr>
      <w:r>
        <w:rPr>
          <w:sz w:val="28"/>
        </w:rPr>
        <w:t>дополнительно осуществляет контроль соблюдения организаторами требований Порядка о проставлении в соответствующем поле бланка участника ГВЭ отметки об удалении с экзамена (в случае удаления участников ГВЭ);</w:t>
      </w:r>
    </w:p>
    <w:p>
      <w:pPr>
        <w:pStyle w:val="111"/>
        <w:numPr>
          <w:ilvl w:val="0"/>
          <w:numId w:val="6"/>
        </w:numPr>
        <w:ind w:firstLine="709" w:left="0" w:right="0"/>
        <w:jc w:val="both"/>
        <w:rPr>
          <w:b/>
          <w:sz w:val="28"/>
        </w:rPr>
      </w:pPr>
      <w:r>
        <w:rPr>
          <w:b/>
          <w:sz w:val="28"/>
        </w:rPr>
        <w:t>в случае досрочного завершения экзамена участником ГВЭ:</w:t>
      </w:r>
    </w:p>
    <w:p>
      <w:pPr>
        <w:pStyle w:val="111"/>
        <w:ind w:firstLine="709" w:left="0" w:right="0"/>
        <w:jc w:val="both"/>
        <w:rPr>
          <w:sz w:val="28"/>
        </w:rPr>
      </w:pPr>
      <w:r>
        <w:rPr>
          <w:sz w:val="28"/>
        </w:rPr>
        <w:t>а) по приглашению организатора вне аудитории проходит в медицинский кабинет;</w:t>
      </w:r>
    </w:p>
    <w:p>
      <w:pPr>
        <w:pStyle w:val="111"/>
        <w:ind w:firstLine="709" w:left="0" w:right="0"/>
        <w:jc w:val="both"/>
        <w:rPr>
          <w:sz w:val="28"/>
        </w:rPr>
      </w:pPr>
      <w:r>
        <w:rPr>
          <w:sz w:val="28"/>
        </w:rPr>
        <w:t>б) при согласии участника ГВЭ досрочно завершить экзамен</w:t>
      </w:r>
      <w:r>
        <w:rPr>
          <w:rStyle w:val="FootnoteReference"/>
          <w:sz w:val="28"/>
          <w:vertAlign w:val="superscript"/>
        </w:rPr>
        <w:footnoteReference w:id="5"/>
      </w:r>
      <w:r>
        <w:rPr>
          <w:sz w:val="28"/>
        </w:rPr>
        <w:t xml:space="preserve"> совместно с медицинским работником составляет акт о досрочном завершении экзамена по объективным причинам в двух экземплярах по форме ППЭ-22 «Акт о досрочном завершении экзамена по объективным причинам»;</w:t>
      </w:r>
    </w:p>
    <w:p>
      <w:pPr>
        <w:pStyle w:val="111"/>
        <w:ind w:firstLine="709" w:left="0" w:right="0"/>
        <w:jc w:val="both"/>
        <w:rPr>
          <w:sz w:val="28"/>
        </w:rPr>
      </w:pPr>
      <w:r>
        <w:rPr>
          <w:sz w:val="28"/>
        </w:rPr>
        <w:t>в) выдает один экземпляр акта лицу, досрочно завершившему экзамен по объективным причинам;</w:t>
      </w:r>
    </w:p>
    <w:p>
      <w:pPr>
        <w:pStyle w:val="111"/>
        <w:ind w:firstLine="709" w:left="0" w:right="0"/>
        <w:jc w:val="both"/>
        <w:rPr>
          <w:sz w:val="28"/>
        </w:rPr>
      </w:pPr>
      <w:r>
        <w:rPr>
          <w:sz w:val="28"/>
        </w:rPr>
        <w:t>г) дополнительно осуществляет контроль соблюдения организаторами требований Порядка о проставлении в соответствующем поле бланка участника ГВЭ отметки о досрочном завершении экзамена по объективным причинам;</w:t>
      </w:r>
    </w:p>
    <w:p>
      <w:pPr>
        <w:pStyle w:val="111"/>
        <w:numPr>
          <w:ilvl w:val="0"/>
          <w:numId w:val="6"/>
        </w:numPr>
        <w:ind w:firstLine="709" w:left="0" w:right="0"/>
        <w:jc w:val="both"/>
        <w:rPr>
          <w:b/>
          <w:sz w:val="28"/>
        </w:rPr>
      </w:pPr>
      <w:r>
        <w:rPr>
          <w:b/>
          <w:sz w:val="28"/>
        </w:rPr>
        <w:t>в случае подачи участником ГВЭ апелляции о нарушении Порядка</w:t>
      </w:r>
      <w:r>
        <w:rPr>
          <w:rStyle w:val="FootnoteReference"/>
          <w:b/>
          <w:sz w:val="28"/>
          <w:vertAlign w:val="superscript"/>
        </w:rPr>
        <w:footnoteReference w:id="6"/>
      </w:r>
      <w:r>
        <w:rPr>
          <w:b/>
          <w:sz w:val="28"/>
        </w:rPr>
        <w:t>:</w:t>
      </w:r>
    </w:p>
    <w:p>
      <w:pPr>
        <w:pStyle w:val="111"/>
        <w:ind w:firstLine="709" w:left="0" w:right="0"/>
        <w:jc w:val="both"/>
        <w:rPr>
          <w:sz w:val="28"/>
        </w:rPr>
      </w:pPr>
      <w:r>
        <w:rPr>
          <w:sz w:val="28"/>
        </w:rPr>
        <w:t>а) принимает от участника ГВЭ в Штабе ППЭ апелляцию о нарушении Порядка в двух экземплярах по форме ППЭ-02 «Апелляция о нарушении порядка проведения ГИА» в зоне видимости камер видеонаблюдения;</w:t>
      </w:r>
    </w:p>
    <w:p>
      <w:pPr>
        <w:pStyle w:val="111"/>
        <w:ind w:firstLine="709" w:left="0" w:right="0"/>
        <w:jc w:val="both"/>
        <w:rPr>
          <w:sz w:val="28"/>
        </w:rPr>
      </w:pPr>
      <w:r>
        <w:rPr>
          <w:sz w:val="28"/>
        </w:rPr>
        <w:t>б) организует проведение проверки изложенных в апелляции сведений о нарушении Порядка при участии организаторов, технических специалистов, экзаменаторов-собеседников (при наличии), не задействованных в аудитории, в которой сдавал экзамен участник ГВЭ, подавший указанную апелляцию, общественных наблюдателей (при наличии), сотрудников, осуществляющих охрану правопорядка, медицинских работников, ассистентов (при наличии);</w:t>
      </w:r>
    </w:p>
    <w:p>
      <w:pPr>
        <w:pStyle w:val="111"/>
        <w:ind w:firstLine="709" w:left="0" w:right="0"/>
        <w:jc w:val="both"/>
        <w:rPr>
          <w:sz w:val="28"/>
        </w:rPr>
      </w:pPr>
      <w:r>
        <w:rPr>
          <w:sz w:val="28"/>
        </w:rPr>
        <w:t>в) по итогам проведенной проверки заполняет протокол рассмотрения апелляции о нарушении Порядка в Штабе ППЭ по форме ППЭ-03 «Протокол рассмотрения апелляции о нарушении порядка проведения ГИА» в зоне видимости камер видеонаблюдения;</w:t>
      </w:r>
    </w:p>
    <w:p>
      <w:pPr>
        <w:pStyle w:val="BodyText"/>
        <w:numPr>
          <w:ilvl w:val="0"/>
          <w:numId w:val="6"/>
        </w:numPr>
        <w:spacing w:lineRule="auto" w:line="252" w:before="67" w:after="0"/>
        <w:ind w:firstLine="709" w:left="0" w:right="122"/>
        <w:jc w:val="both"/>
        <w:rPr>
          <w:sz w:val="28"/>
        </w:rPr>
      </w:pPr>
      <w:r>
        <w:rPr>
          <w:b/>
          <w:sz w:val="28"/>
        </w:rPr>
        <w:t xml:space="preserve">в случае отсутствия средств видеонаблюдения, неисправного состояния или отключения указанных средств во время проведения экзамена, которое приравнивается к отсутствию видеозаписи экзамена: </w:t>
      </w:r>
      <w:r>
        <w:rPr>
          <w:sz w:val="28"/>
        </w:rPr>
        <w:t>по факту неисправного состояния, отключения средств видеонаблюдения или отсутствия видеозаписи экзаменов по согласованию с председателем ГЭК член ГЭК принимает решение об остановке экзамена в ППЭ или отдельных аудиториях ППЭ, членом ГЭК составляется акт, который в тот же день передается председателю ГЭК;</w:t>
      </w:r>
    </w:p>
    <w:p>
      <w:pPr>
        <w:pStyle w:val="ListParagraph1"/>
        <w:numPr>
          <w:ilvl w:val="0"/>
          <w:numId w:val="6"/>
        </w:numPr>
        <w:spacing w:lineRule="auto" w:line="252"/>
        <w:ind w:firstLine="709" w:left="0" w:right="129"/>
        <w:jc w:val="both"/>
        <w:rPr>
          <w:sz w:val="28"/>
        </w:rPr>
      </w:pPr>
      <w:r>
        <w:rPr>
          <w:sz w:val="28"/>
        </w:rPr>
        <w:t>оказывает содействие руководителю ППЭ в решении возникающих в процессе экзамена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ситуаций.</w:t>
      </w:r>
    </w:p>
    <w:p>
      <w:pPr>
        <w:pStyle w:val="ListParagraph1"/>
        <w:tabs>
          <w:tab w:val="clear" w:pos="709"/>
          <w:tab w:val="left" w:pos="1242" w:leader="none"/>
        </w:tabs>
        <w:spacing w:lineRule="auto" w:line="252"/>
        <w:ind w:hanging="0" w:left="821" w:right="129"/>
        <w:jc w:val="both"/>
        <w:rPr>
          <w:sz w:val="28"/>
        </w:rPr>
      </w:pPr>
      <w:r>
        <w:rPr>
          <w:sz w:val="28"/>
        </w:rPr>
      </w:r>
    </w:p>
    <w:p>
      <w:pPr>
        <w:pStyle w:val="111"/>
        <w:spacing w:before="0" w:after="240"/>
        <w:ind w:firstLine="760" w:left="0" w:right="0"/>
        <w:jc w:val="center"/>
        <w:rPr>
          <w:b/>
          <w:sz w:val="28"/>
        </w:rPr>
      </w:pPr>
      <w:r>
        <w:rPr>
          <w:b/>
          <w:sz w:val="28"/>
        </w:rPr>
        <w:t>Завершение ГВЭ в ППЭ</w:t>
      </w:r>
    </w:p>
    <w:p>
      <w:pPr>
        <w:pStyle w:val="111"/>
        <w:tabs>
          <w:tab w:val="clear" w:pos="709"/>
          <w:tab w:val="left" w:pos="1134" w:leader="none"/>
          <w:tab w:val="left" w:pos="1276" w:leader="none"/>
        </w:tabs>
        <w:ind w:firstLine="851" w:left="0" w:right="0"/>
        <w:jc w:val="both"/>
        <w:rPr>
          <w:b/>
          <w:sz w:val="28"/>
        </w:rPr>
      </w:pPr>
      <w:r>
        <w:rPr>
          <w:b/>
          <w:sz w:val="28"/>
        </w:rPr>
        <w:t>По окончании проведения ГВЭ член ГЭК:</w:t>
      </w:r>
    </w:p>
    <w:p>
      <w:pPr>
        <w:pStyle w:val="111"/>
        <w:numPr>
          <w:ilvl w:val="0"/>
          <w:numId w:val="8"/>
        </w:numPr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присутствует при переносе</w:t>
      </w:r>
      <w:r>
        <w:rPr>
          <w:rStyle w:val="FootnoteReference"/>
          <w:sz w:val="28"/>
          <w:vertAlign w:val="superscript"/>
        </w:rPr>
        <w:footnoteReference w:id="7"/>
      </w:r>
      <w:r>
        <w:rPr>
          <w:sz w:val="17"/>
        </w:rPr>
        <w:t xml:space="preserve"> </w:t>
      </w:r>
      <w:r>
        <w:rPr>
          <w:sz w:val="28"/>
        </w:rPr>
        <w:t xml:space="preserve"> ассистентом ответов на задания КИМ, выполненных слепыми и слабовидящими участниками ГВЭ в бланках увеличенного размера (ДБО увеличенного размера), черновиках, а также ответов на задания КИМ, выполненных участниками ГВЭ на компьютере, в бланки ответов, а также в ДБО (при необходимости);</w:t>
      </w:r>
    </w:p>
    <w:p>
      <w:pPr>
        <w:pStyle w:val="111"/>
        <w:numPr>
          <w:ilvl w:val="0"/>
          <w:numId w:val="8"/>
        </w:numPr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осуществляет контроль за получением руководителем ППЭ от ответственных организаторов в аудитории за специально подготовленным столом, находящимся в зоне видимости камер видеонаблюдения, в Штабе ППЭ:</w:t>
      </w:r>
    </w:p>
    <w:p>
      <w:pPr>
        <w:pStyle w:val="111"/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а) запечатанных ВДП с бланками</w:t>
      </w:r>
      <w:r>
        <w:rPr>
          <w:rStyle w:val="FootnoteReference"/>
          <w:sz w:val="28"/>
          <w:vertAlign w:val="superscript"/>
        </w:rPr>
        <w:footnoteReference w:id="8"/>
      </w:r>
      <w:r>
        <w:rPr>
          <w:sz w:val="28"/>
        </w:rPr>
        <w:t xml:space="preserve">; </w:t>
      </w:r>
    </w:p>
    <w:p>
      <w:pPr>
        <w:pStyle w:val="111"/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б) запечатанных конвертов с КИМ;</w:t>
      </w:r>
    </w:p>
    <w:p>
      <w:pPr>
        <w:pStyle w:val="111"/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в) использованных черновиков;</w:t>
      </w:r>
    </w:p>
    <w:p>
      <w:pPr>
        <w:pStyle w:val="111"/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 xml:space="preserve">г) неиспользованных (или имеющих полиграфические дефекты) бланков; </w:t>
      </w:r>
    </w:p>
    <w:p>
      <w:pPr>
        <w:pStyle w:val="111"/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д) неиспользованных ДБО;</w:t>
      </w:r>
    </w:p>
    <w:p>
      <w:pPr>
        <w:pStyle w:val="111"/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е) неиспользованных черновиков;</w:t>
      </w:r>
    </w:p>
    <w:p>
      <w:pPr>
        <w:pStyle w:val="111"/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ж) запечатанных конвертов с электронными (внешними) носителями с записанными на них файлами, содержащими ответы участников ГВЭ на задания КИМ (при проведении ГВЭ в устной форме) (передаются техническим специалистом);</w:t>
      </w:r>
    </w:p>
    <w:p>
      <w:pPr>
        <w:pStyle w:val="111"/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з) форм ППЭ (ППЭ-05-02-ГВЭ «Протокол проведения ГВЭ в аудитории»; ППЭ-12-02 «Ведомость коррекции персональных данных участников экзамена в аудитории»; ППЭ-12-04-МАШ «Ведомость учета времени отсутствия участников экзамена в аудитории»);</w:t>
      </w:r>
    </w:p>
    <w:p>
      <w:pPr>
        <w:pStyle w:val="111"/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и) служебных записок (при наличии);</w:t>
      </w:r>
    </w:p>
    <w:p>
      <w:pPr>
        <w:pStyle w:val="111"/>
        <w:numPr>
          <w:ilvl w:val="0"/>
          <w:numId w:val="8"/>
        </w:numPr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получает от руководителя ППЭ все необходимые материалы;</w:t>
      </w:r>
    </w:p>
    <w:p>
      <w:pPr>
        <w:pStyle w:val="111"/>
        <w:numPr>
          <w:ilvl w:val="0"/>
          <w:numId w:val="8"/>
        </w:numPr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совместно с руководителем ППЭ заполняет форму ППЭ-14-02-ГВЭ «Ведомость учета экзаменационных материалов»;</w:t>
      </w:r>
    </w:p>
    <w:p>
      <w:pPr>
        <w:pStyle w:val="111"/>
        <w:numPr>
          <w:ilvl w:val="0"/>
          <w:numId w:val="8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 xml:space="preserve"> </w:t>
      </w:r>
      <w:r>
        <w:rPr/>
        <w:t>Вашим</w:t>
      </w:r>
    </w:p>
    <w:p>
      <w:pPr>
        <w:pStyle w:val="111"/>
        <w:numPr>
          <w:ilvl w:val="0"/>
          <w:numId w:val="8"/>
        </w:numPr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направляет в тот же день запечатанные ВДП с бланками, запечатанные конверты с КИМ, запечатанные конверты с электронными (внешними) носителями с файлами, содержащими ответы участников ГВЭ на задания КИМ (при проведении ГВЭ в устной форме) (при наличии) в РЦОИ</w:t>
      </w:r>
      <w:r>
        <w:rPr>
          <w:rStyle w:val="FootnoteReference"/>
          <w:sz w:val="28"/>
          <w:vertAlign w:val="superscript"/>
        </w:rPr>
        <w:footnoteReference w:id="9"/>
      </w:r>
      <w:r>
        <w:rPr>
          <w:sz w:val="28"/>
        </w:rPr>
        <w:t>.</w:t>
      </w:r>
    </w:p>
    <w:p>
      <w:pPr>
        <w:pStyle w:val="111"/>
        <w:tabs>
          <w:tab w:val="clear" w:pos="709"/>
          <w:tab w:val="left" w:pos="1134" w:leader="none"/>
          <w:tab w:val="left" w:pos="1276" w:leader="none"/>
        </w:tabs>
        <w:ind w:firstLine="709" w:left="0" w:right="0"/>
        <w:jc w:val="both"/>
        <w:rPr>
          <w:sz w:val="28"/>
        </w:rPr>
      </w:pPr>
      <w:r>
        <w:rPr>
          <w:b/>
          <w:sz w:val="28"/>
        </w:rPr>
        <w:t>В случае сканирования экзаменационных работ участников ГВЭ в Штабе ППЭ в зоне видимости камер видеонаблюдения:</w:t>
      </w:r>
      <w:r>
        <w:rPr>
          <w:sz w:val="28"/>
        </w:rPr>
        <w:t xml:space="preserve"> присутствует совместно с руководителем ППЭ, общественными наблюдателями (при наличии) при сканировании экзаменационных работ техническими специалистами.</w:t>
      </w:r>
    </w:p>
    <w:p>
      <w:pPr>
        <w:pStyle w:val="111"/>
        <w:spacing w:before="0" w:after="260"/>
        <w:ind w:firstLine="709" w:left="0" w:right="0"/>
        <w:jc w:val="both"/>
        <w:rPr>
          <w:sz w:val="28"/>
        </w:rPr>
      </w:pPr>
      <w:r>
        <w:rPr>
          <w:sz w:val="28"/>
        </w:rPr>
        <w:t>После окончания экзамена член ГЭК доставляет ЭМ в РЦОИ. В случае сканирования экзаменационных работ участников ГВЭ в ППЭ, материалы доставляются в сроки установленные Министерством. Использованные черновики хранятся в ППЭ в течении месяца, затем уничтожаются в ППЭ.</w:t>
      </w:r>
    </w:p>
    <w:p>
      <w:pPr>
        <w:pStyle w:val="Heading2"/>
        <w:numPr>
          <w:ilvl w:val="0"/>
          <w:numId w:val="5"/>
        </w:numPr>
        <w:spacing w:before="0" w:after="0"/>
        <w:ind w:hanging="0" w:left="0" w:right="0"/>
        <w:rPr/>
      </w:pPr>
      <w:bookmarkStart w:id="11" w:name="__RefHeading___10"/>
      <w:bookmarkEnd w:id="11"/>
      <w:r>
        <w:rPr/>
        <w:t>Инструкция для руководителя ППЭ</w:t>
      </w:r>
      <w:bookmarkStart w:id="12" w:name="bookmark33"/>
      <w:bookmarkStart w:id="13" w:name="bookmark32"/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Требования к руководителям ППЭ, предъявляемые Порядком: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прошли соответствующую подготовку;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не являются близкими родственниками, а также супругами, усыновителями, усыновленными участников ГВЭ, сдающих экзамен в данном ППЭ;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не являются педагогическими работниками, являющимися учителями участников ГВЭ, сдающих экзамен в данном ППЭ</w:t>
      </w:r>
      <w:r>
        <w:rPr>
          <w:rStyle w:val="FootnoteReference"/>
          <w:sz w:val="28"/>
          <w:vertAlign w:val="superscript"/>
        </w:rPr>
        <w:footnoteReference w:id="10"/>
      </w:r>
      <w:r>
        <w:rPr>
          <w:sz w:val="28"/>
        </w:rPr>
        <w:t>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Руководитель ППЭ заблаговременно проходит инструктаж по порядку и процедуре проведения ГВЭ и знакомится с: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нормативными правовыми актами, регламентирующими проведение ГИА;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инструкцией, определяющей порядок работы руководителя ППЭ, а также инструкциями, определяющими порядок работы работников ППЭ;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правилами оформления ведомостей, протоколов и актов, заполняемых при проведении ГВЭ в аудиториях, ППЭ.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Руководитель ППЭ информируется под подпись о сроках, местах и порядке проведения ГВЭ,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работников ППЭ, нарушивших Порядок.</w:t>
      </w:r>
    </w:p>
    <w:p>
      <w:pPr>
        <w:pStyle w:val="Normal"/>
        <w:rPr/>
      </w:pPr>
      <w:r>
        <w:rPr/>
      </w:r>
    </w:p>
    <w:p>
      <w:pPr>
        <w:pStyle w:val="111"/>
        <w:spacing w:before="0" w:after="240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 xml:space="preserve">Подготовка к проведению ГВЭ </w:t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Не позднее чем за один календарный день до проведения экзамена руководитель ППЭ совместно с руководителем образовательной организации, на базе которой организован ППЭ: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обеспечивает готовность ППЭ к проведению ГВЭ в соответствии с требованиями к ППЭ, предъявляемыми Порядком;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проверяет наличие и готовность помещений и аудиторий, необходимых для проведения ГВЭ, в том числе аудиторий для участников ГВЭ с ОВЗ, участников ГВЭ – детей-инвалидов и инвалидов, учитывающих состояние их здоровья, особенности психофизического развития и индивидуальных возможностей</w:t>
      </w:r>
      <w:r>
        <w:rPr>
          <w:rStyle w:val="FootnoteReference"/>
          <w:sz w:val="28"/>
          <w:vertAlign w:val="superscript"/>
        </w:rPr>
        <w:footnoteReference w:id="11"/>
      </w:r>
      <w:r>
        <w:rPr>
          <w:sz w:val="28"/>
        </w:rPr>
        <w:t>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проверяет готовность необходимого оборудования для участников ГВЭ с ОВЗ, участников ГВЭ – детей-инвалидов и инвалидов;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проверяет готовность рабочих мест для организаторов вне аудитории, обеспечивающих вход участников ГВЭ, сотрудников, осуществляющих охрану правопорядка;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проверяет готовность рабочих мест для организаторов в аудитории и общественных наблюдателей;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обеспечивает аудитории для проведения ГВЭ заметным обозначением их номеров;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обеспечивает специально выделенное место в каждой аудитории (стол), находящееся в зоне видимости камер видеонаблюдения, для оформления соответствующих форм ППЭ, осуществления раскладки и последующей упаковки организаторами ЭМ, собранных у участников ГВЭ;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обеспечивает помещения ППЭ, в том числе аудитории, заметным обозначением о ведении видеонаблюдения;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проводит проверку работоспособности средств видеонаблюдения в ППЭ совместно с техническим специалистом;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проверяет настройки металлоискателей (стационарных и (или) переносных), расположенных у входа в ППЭ, в том числе обеспечивает проверку настроенных параметров металлоискателей;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обеспечивает каждое рабочее место участника ГВЭ в аудитории заметным обозначением его номера;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обеспечивает каждую аудиторию настроенными на точное время часами, находящимися в поле зрения участников ГВЭ;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закрывает или убирает в аудиториях стенды, плакаты и иные материалы со справочно-познавательной информацией;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запирает и опечатывает помещения, не использующиеся для проведения экзамена в день проведения экзамена;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обеспечивает до входа в ППЭ наличие отдельного места (помещения) для хранения личных вещей участников ГВЭ;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обеспечивает до входа в ППЭ наличие отдельного места (помещения) для хранения личных вещей организаторов, медицинского работника, экзаменаторов- собеседников, ассистентов, аккредитованных представителей средств массовой информации;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обеспечивает до входа в ППЭ наличие помещения для сопровождающих;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организовывает в Штабе ППЭ место для хранения личных вещей членов ГЭК, руководителя организации, в помещениях которой организован ППЭ, или уполномоченного им лица, руководителя ППЭ, технических специалистов, общественных наблюдателей, должностных лиц Рособрнадзора, а также иных лиц, определенных Рособрнадзором, должностных лиц Министерства;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организовывает в Штабе ППЭ место для руководителя образовательной организации, в помещениях которой организован ППЭ, или уполномоченного им лица;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обеспечивает в ППЭ наличие помещения для медицинского работника, которое изолируется от аудиторий, используемых для проведения экзаменов;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подготавливает журнал учета участников ГВЭ, обратившихся к медицинскому работнику (см. приложение 2);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проверяет работоспособность технических средств, планируемых к использованию во время проведения ГВЭ, в том числе технических средств для осуществления цифровой аудиозаписи ответов участников ГВЭ при проведении ГВЭ в устной форме (в случае проведения ГВЭ в ППЭ в указанной форме);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подготавливает ножницы для вскрытия доставочных пакетов с ЭМ для каждой аудитории</w:t>
      </w:r>
      <w:r>
        <w:rPr>
          <w:rStyle w:val="FootnoteReference"/>
          <w:sz w:val="28"/>
          <w:vertAlign w:val="superscript"/>
        </w:rPr>
        <w:footnoteReference w:id="12"/>
      </w:r>
      <w:r>
        <w:rPr>
          <w:sz w:val="28"/>
        </w:rPr>
        <w:t>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подготавливает черновики из расчета по два листа на каждого участника ГВЭ, а также дополнительные черновики;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подготавливает конверты</w:t>
      </w:r>
      <w:r>
        <w:rPr>
          <w:sz w:val="28"/>
          <w:vertAlign w:val="superscript"/>
        </w:rPr>
        <w:t xml:space="preserve"> </w:t>
      </w:r>
      <w:r>
        <w:rPr>
          <w:sz w:val="28"/>
        </w:rPr>
        <w:t>для упаковки КИМ, электронных (внешних) носителей для записи на них файлов, содержащих ответы участников ГВЭ на задания КИМ (в случае проведения ГВЭ в устной форме);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подготавливает в необходимом количестве инструкции для участников ГВЭ, зачитываемые организаторами в аудитории перед началом экзамена (одна инструкция на одну аудиторию), а в случае распределения в ППЭ участников ГВЭ – глухих, слабослышащих, позднооглохших, кохлеарно имплантированных, участников ГВЭ с расстройствами аутистического спектра – подготавливает напечатанные «Правила по заполнению бланков ГВЭ» и «Инструкцию для участника ГВЭ, зачитываемую организатором в аудитории перед началом экзамена»</w:t>
      </w:r>
      <w:r>
        <w:rPr>
          <w:sz w:val="28"/>
          <w:vertAlign w:val="superscript"/>
        </w:rPr>
        <w:t xml:space="preserve"> </w:t>
      </w:r>
      <w:r>
        <w:rPr>
          <w:rStyle w:val="FootnoteReference"/>
          <w:sz w:val="28"/>
          <w:vertAlign w:val="superscript"/>
        </w:rPr>
        <w:footnoteReference w:id="13"/>
      </w:r>
      <w:r>
        <w:rPr>
          <w:sz w:val="28"/>
        </w:rPr>
        <w:t>; напечатанную Памятку для слепых и слабовидящих участников экзаменов по заполнению шрифтом Брайля специальных тетрадей для записи ответов;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подготавливает инструкцию для участников экзамена, предъявляемую в письменном виде опоздавшим участникам экзамена;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подготавливает журнал (журналы) для ознакомления опоздавших участников экзамена, с тем что участники экзамена ознакомлены с порядком проведения экзамена и с установленной ответственностью за нарушение Порядка.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проверяет пожарные выходы, наличие средств первичного пожаротушения;</w:t>
      </w:r>
    </w:p>
    <w:p>
      <w:pPr>
        <w:pStyle w:val="111"/>
        <w:numPr>
          <w:ilvl w:val="0"/>
          <w:numId w:val="9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заполняет форму ППЭ-01-ГВЭ «Акт готовности ППЭ к ГВЭ» совместно с руководителем организации, на базе которой организован ППЭ.</w:t>
      </w:r>
    </w:p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Проведение ГВЭ в ППЭ</w:t>
      </w:r>
    </w:p>
    <w:tbl>
      <w:tblPr>
        <w:tblStyle w:val="Style_9"/>
        <w:tblW w:w="10417" w:type="dxa"/>
        <w:jc w:val="left"/>
        <w:tblInd w:w="1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7"/>
      </w:tblGrid>
      <w:tr>
        <w:trPr>
          <w:trHeight w:val="414" w:hRule="atLeast"/>
        </w:trPr>
        <w:tc>
          <w:tcPr>
            <w:tcW w:w="10417" w:type="dxa"/>
            <w:tcBorders/>
          </w:tcPr>
          <w:p>
            <w:pPr>
              <w:pStyle w:val="BodyText"/>
              <w:widowControl w:val="false"/>
              <w:suppressAutoHyphens w:val="true"/>
              <w:spacing w:lineRule="auto" w:line="240" w:before="0" w:after="0"/>
              <w:ind w:firstLine="708" w:left="93" w:right="102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Руководителю ППЭ необходимо помнить, что экзамен проводится в спокойной и доброжелательной обстановке.</w:t>
            </w:r>
          </w:p>
          <w:p>
            <w:pPr>
              <w:pStyle w:val="BodyText"/>
              <w:widowControl w:val="false"/>
              <w:suppressAutoHyphens w:val="true"/>
              <w:spacing w:lineRule="exact" w:line="299" w:before="6" w:after="0"/>
              <w:ind w:hanging="0" w:left="801" w:right="0"/>
              <w:jc w:val="left"/>
              <w:rPr>
                <w:color w:val="000000"/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В день проведения экзамена в ППЭ руководителю ППЭ запрещается:</w:t>
            </w:r>
          </w:p>
          <w:p>
            <w:pPr>
              <w:pStyle w:val="BodyText"/>
              <w:widowControl w:val="false"/>
              <w:suppressAutoHyphens w:val="true"/>
              <w:spacing w:lineRule="auto" w:line="240" w:before="0" w:after="0"/>
              <w:ind w:firstLine="708" w:left="93" w:right="95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а) оказывать содействие участникам ГВЭ,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      </w:r>
          </w:p>
          <w:p>
            <w:pPr>
              <w:pStyle w:val="BodyText"/>
              <w:widowControl w:val="false"/>
              <w:suppressAutoHyphens w:val="true"/>
              <w:spacing w:lineRule="auto" w:line="240" w:before="1" w:after="0"/>
              <w:ind w:firstLine="708" w:left="93" w:right="101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б) выносить из аудиторий и ППЭ черновики, ЭМ на бумажном и (или) электронном носителях;</w:t>
            </w:r>
          </w:p>
          <w:p>
            <w:pPr>
              <w:pStyle w:val="BodyText"/>
              <w:widowControl w:val="false"/>
              <w:suppressAutoHyphens w:val="true"/>
              <w:spacing w:lineRule="exact" w:line="280" w:before="0" w:after="0"/>
              <w:ind w:hanging="0" w:left="801" w:right="0"/>
              <w:jc w:val="left"/>
              <w:rPr>
                <w:color w:val="000000"/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в) фотографировать ЭМ, черновики;</w:t>
            </w:r>
          </w:p>
          <w:p>
            <w:pPr>
              <w:pStyle w:val="BodyText"/>
              <w:widowControl w:val="false"/>
              <w:suppressAutoHyphens w:val="true"/>
              <w:spacing w:lineRule="exact" w:line="300" w:before="19" w:after="0"/>
              <w:ind w:firstLine="708" w:left="93" w:right="94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г) покидать ППЭ в день проведения экзамена</w:t>
            </w:r>
            <w:r>
              <w:rPr>
                <w:rStyle w:val="FootnoteReference"/>
                <w:spacing w:val="0"/>
                <w:kern w:val="0"/>
                <w:sz w:val="28"/>
                <w:szCs w:val="20"/>
                <w:vertAlign w:val="superscript"/>
              </w:rPr>
              <w:footnoteReference w:id="14"/>
            </w:r>
            <w:r>
              <w:rPr>
                <w:color w:val="000000"/>
                <w:spacing w:val="0"/>
                <w:kern w:val="0"/>
                <w:sz w:val="28"/>
                <w:szCs w:val="20"/>
              </w:rPr>
              <w:t xml:space="preserve"> (до окончания процедур, предусмотренных Порядком);</w:t>
            </w:r>
          </w:p>
          <w:p>
            <w:pPr>
              <w:pStyle w:val="BodyText"/>
              <w:widowControl w:val="false"/>
              <w:suppressAutoHyphens w:val="true"/>
              <w:spacing w:lineRule="auto" w:line="228" w:before="9" w:after="0"/>
              <w:ind w:firstLine="708" w:left="93" w:right="95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д) пользоваться средствами связи, электронно-вычислительной техникой, фото-, аудио- и видеоаппаратурой, справочными материалами, письменными заметками и иными средствами хранения и передачи информации вне Штаба ППЭ</w:t>
            </w:r>
            <w:r>
              <w:rPr>
                <w:rStyle w:val="FootnoteReference"/>
                <w:spacing w:val="0"/>
                <w:kern w:val="0"/>
                <w:sz w:val="28"/>
                <w:szCs w:val="20"/>
                <w:vertAlign w:val="superscript"/>
              </w:rPr>
              <w:footnoteReference w:id="15"/>
            </w:r>
            <w:r>
              <w:rPr>
                <w:color w:val="000000"/>
                <w:spacing w:val="0"/>
                <w:kern w:val="0"/>
                <w:sz w:val="28"/>
                <w:szCs w:val="20"/>
              </w:rPr>
              <w:t>.</w:t>
            </w:r>
          </w:p>
          <w:p>
            <w:pPr>
              <w:pStyle w:val="BodyText"/>
              <w:widowControl w:val="false"/>
              <w:suppressAutoHyphens w:val="true"/>
              <w:spacing w:lineRule="auto" w:line="240" w:before="0" w:after="0"/>
              <w:ind w:firstLine="708" w:left="93" w:right="98"/>
              <w:jc w:val="both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Руководитель ППЭ несет персональную ответственность за соблюдение мер информационной безопасности и исполнение Порядка на всех этапах проведения ГВЭ в ППЭ.</w:t>
            </w:r>
          </w:p>
        </w:tc>
      </w:tr>
    </w:tbl>
    <w:p>
      <w:pPr>
        <w:pStyle w:val="111"/>
        <w:ind w:hanging="0" w:left="0" w:right="0"/>
        <w:jc w:val="center"/>
        <w:rPr>
          <w:sz w:val="28"/>
        </w:rPr>
      </w:pPr>
      <w:r>
        <w:rPr>
          <w:sz w:val="28"/>
        </w:rPr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В день проведения ГВЭ руководитель ППЭ приходит в ППЭ </w:t>
      </w:r>
      <w:r>
        <w:rPr>
          <w:b/>
          <w:sz w:val="28"/>
        </w:rPr>
        <w:t xml:space="preserve">не позднее 09:00 по местному времени </w:t>
      </w:r>
      <w:r>
        <w:rPr>
          <w:sz w:val="28"/>
        </w:rPr>
        <w:t>и оставляет все свои личные вещи в месте для хранения личных вещей, организованном в Штабе ППЭ.</w:t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До начала экзамена руководителю ППЭ следует:</w:t>
      </w:r>
    </w:p>
    <w:p>
      <w:pPr>
        <w:pStyle w:val="111"/>
        <w:numPr>
          <w:ilvl w:val="0"/>
          <w:numId w:val="10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назначить ответственного за регистрацию лиц в соответствии с формой ППЭ-07 «Список работников ППЭ и общественных наблюдателей» из числа организаторов вне аудитории;</w:t>
      </w:r>
    </w:p>
    <w:p>
      <w:pPr>
        <w:pStyle w:val="111"/>
        <w:numPr>
          <w:ilvl w:val="0"/>
          <w:numId w:val="10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обеспечить контроль за регистрацией лиц в день экзамена (в случае неявки распределенных в данный ППЭ работников ППЭ произвести замену работников ППЭ по форме ППЭ-19 «Контроль изменения состава работников в день экзамена»);</w:t>
      </w:r>
    </w:p>
    <w:p>
      <w:pPr>
        <w:pStyle w:val="111"/>
        <w:numPr>
          <w:ilvl w:val="0"/>
          <w:numId w:val="10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дать распоряжение техническим специалистам, отвечающим за организацию видеонаблюдения в ППЭ, включить режим видеозаписи: в Штабе ППЭ – не позднее 7:30 по местному времени, но до получения ЭМ от члена ГЭК; в аудиториях ППЭ – не позднее 08:00 по местному времени;</w:t>
      </w:r>
    </w:p>
    <w:p>
      <w:pPr>
        <w:pStyle w:val="111"/>
        <w:numPr>
          <w:ilvl w:val="0"/>
          <w:numId w:val="10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убедиться в сохранении корректности настроек стационарных и (или) переносных металлоискателей;</w:t>
      </w:r>
    </w:p>
    <w:p>
      <w:pPr>
        <w:pStyle w:val="111"/>
        <w:numPr>
          <w:ilvl w:val="0"/>
          <w:numId w:val="10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в Штабе ППЭ получить от члена ГЭК</w:t>
      </w:r>
      <w:r>
        <w:rPr>
          <w:rStyle w:val="FootnoteReference"/>
          <w:sz w:val="28"/>
          <w:vertAlign w:val="superscript"/>
        </w:rPr>
        <w:footnoteReference w:id="16"/>
      </w:r>
      <w:r>
        <w:rPr>
          <w:sz w:val="28"/>
        </w:rPr>
        <w:t>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пакет руководителя ППЭ (акты, протоколы, формы апелляции, списки распределения участников ГВЭ и работников ППЭ, ведомости, отчеты и др.);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бланки регистрации, бланки ответов</w:t>
      </w:r>
      <w:r>
        <w:rPr>
          <w:rStyle w:val="FootnoteReference"/>
          <w:sz w:val="28"/>
          <w:vertAlign w:val="superscript"/>
        </w:rPr>
        <w:footnoteReference w:id="17"/>
      </w:r>
      <w:r>
        <w:rPr>
          <w:sz w:val="28"/>
        </w:rPr>
        <w:t xml:space="preserve">, ДБО;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КИМ;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г) ВДП для упаковки бланков после проведения экзамена.</w:t>
      </w:r>
    </w:p>
    <w:p>
      <w:pPr>
        <w:pStyle w:val="111"/>
        <w:numPr>
          <w:ilvl w:val="0"/>
          <w:numId w:val="10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b/>
          <w:sz w:val="28"/>
        </w:rPr>
        <w:t>в случае печати ЭМ в Штабе ППЭ:</w:t>
      </w:r>
      <w:r>
        <w:rPr>
          <w:sz w:val="28"/>
        </w:rPr>
        <w:t xml:space="preserve"> присутствовать </w:t>
      </w:r>
      <w:r>
        <w:rPr>
          <w:b/>
          <w:sz w:val="28"/>
        </w:rPr>
        <w:t>совместно с членом ГЭК, общественными наблюдателями (при наличии)</w:t>
      </w:r>
      <w:r>
        <w:rPr>
          <w:sz w:val="28"/>
        </w:rPr>
        <w:t xml:space="preserve"> при организации техническим специалистом печати ЭМ на бумажные носители;</w:t>
      </w:r>
    </w:p>
    <w:p>
      <w:pPr>
        <w:pStyle w:val="111"/>
        <w:numPr>
          <w:ilvl w:val="0"/>
          <w:numId w:val="10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разместить ЭМ в сейфе, расположенном в Штабе ППЭ в зоне видимости камер видеонаблюдения, и обеспечить их надежное хранение до момента передачи ответственным организаторам в аудиториях;</w:t>
      </w:r>
    </w:p>
    <w:p>
      <w:pPr>
        <w:pStyle w:val="111"/>
        <w:numPr>
          <w:ilvl w:val="0"/>
          <w:numId w:val="10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проверить готовность аудиторий к проведению ГВЭ, в том числе сверку часов во всех аудиториях.</w:t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До начала экзамена  руководителю ППЭ следует:</w:t>
      </w:r>
    </w:p>
    <w:p>
      <w:pPr>
        <w:pStyle w:val="111"/>
        <w:numPr>
          <w:ilvl w:val="0"/>
          <w:numId w:val="11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начать проведение инструктажа по процедуре проведения ГВЭ для работников ППЭ;</w:t>
      </w:r>
    </w:p>
    <w:p>
      <w:pPr>
        <w:pStyle w:val="111"/>
        <w:numPr>
          <w:ilvl w:val="0"/>
          <w:numId w:val="11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назначить организаторов вне аудитории по местам их распределения в ППЭ, выдать организатору вне аудитории формы ППЭ-06-01 «Список участников ГВЭ образовательной организации» и ППЭ-06-02 «Список участников ГВЭ в ППЭ по алфавиту» для размещения на информационном стенде при входе в ППЭ;</w:t>
      </w:r>
    </w:p>
    <w:p>
      <w:pPr>
        <w:pStyle w:val="111"/>
        <w:numPr>
          <w:ilvl w:val="0"/>
          <w:numId w:val="11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назначить ответственного организатора в каждой аудитории в соответствии со списком распределения организаторов по аудиториям (форма ППЭ-07 «Список работников ППЭ и общественных наблюдателей»);</w:t>
      </w:r>
    </w:p>
    <w:p>
      <w:pPr>
        <w:pStyle w:val="111"/>
        <w:numPr>
          <w:ilvl w:val="0"/>
          <w:numId w:val="11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выдать ответственным организаторам в аудитории: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формы ППЭ-05-01-ГВЭ «Список участников ГВЭ в аудитории ППЭ» (два экземпляра), ППЭ-05-02-ГВЭ «Протокол проведения ГВЭ в аудитории», ППЭ-12-02 «Ведомость коррекции персональных данных участников экзамена в аудитории», ППЭ-12-04-МАШ «Ведомость учета времени отсутствия участников экзамена в аудитории», ППЭ- 16 «Расшифровка кодов образовательных организаций ППЭ»;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инструкции для участников ГВЭ, зачитываемые организаторами в аудиториях перед началом экзамена (одна инструкция на аудиторию)</w:t>
      </w:r>
      <w:r>
        <w:rPr>
          <w:sz w:val="28"/>
          <w:vertAlign w:val="superscript"/>
        </w:rPr>
        <w:t xml:space="preserve"> </w:t>
      </w:r>
      <w:r>
        <w:rPr>
          <w:rStyle w:val="FootnoteReference"/>
          <w:sz w:val="28"/>
          <w:vertAlign w:val="superscript"/>
        </w:rPr>
        <w:footnoteReference w:id="18"/>
      </w:r>
      <w:r>
        <w:rPr>
          <w:sz w:val="28"/>
        </w:rPr>
        <w:t>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таблички с номерами аудиторий;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г) ножницы для вскрытия пакета с ЭМ</w:t>
      </w:r>
      <w:r>
        <w:rPr>
          <w:rStyle w:val="FootnoteReference"/>
          <w:sz w:val="28"/>
          <w:vertAlign w:val="superscript"/>
        </w:rPr>
        <w:footnoteReference w:id="19"/>
      </w:r>
      <w:r>
        <w:rPr>
          <w:sz w:val="28"/>
        </w:rPr>
        <w:t>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д) черновики (минимальное количество черновиков: два на одного участника);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е) конверты для упаковки КИМ, электронных (внешних) носителей для записи на них файлов, содержащих ответы участников ГВЭ на задания КИМ (в случае проведения ГВЭ в устной форме);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ж) электронные (внешние) носители для записи на них файлов, содержащих ответы участников ГВЭ на задания КИМ (в случае проведения ГВЭ в устной форме);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з) напечатанные правила по заполнению бланков ГВЭ, инструкцию, зачитываемую организатором в аудитории перед началом экзамена</w:t>
      </w:r>
      <w:r>
        <w:rPr>
          <w:rStyle w:val="FootnoteReference"/>
          <w:sz w:val="28"/>
          <w:vertAlign w:val="superscript"/>
        </w:rPr>
        <w:footnoteReference w:id="20"/>
      </w:r>
      <w:r>
        <w:rPr>
          <w:sz w:val="28"/>
        </w:rPr>
        <w:t>, для выдачи участникам ГВЭ – глухим, слабослышащим, позднооглохшим и кохлеарно имплантированным, участникам ГВЭ с расстройствами аутистического спектра;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и) напечатанную Памятку для слепых и слабовидящих участников экзаменов по заполнению шрифтом Брайля специальных тетрадей для записи ответов.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Передает медицинскому работнику инструкцию, определяющую порядок его работы во время проведения ГВЭ в ППЭ, журнал учета участников ГВЭ, обратившихся к медицинскому работнику.</w:t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Обеспечить допуск: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представителей средств массовой информации при наличии у них документов, удостоверяющих личность и подтверждающих их полномочия</w:t>
      </w:r>
      <w:r>
        <w:rPr>
          <w:rStyle w:val="FootnoteReference"/>
          <w:sz w:val="28"/>
          <w:vertAlign w:val="superscript"/>
        </w:rPr>
        <w:footnoteReference w:id="21"/>
      </w:r>
      <w:r>
        <w:rPr>
          <w:sz w:val="28"/>
        </w:rPr>
        <w:t>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общественных наблюдателей при наличии у них документов, удостоверяющих личность и подтверждающих их полномочия, а также при наличии их в списках распределения в данный ППЭ (выдать общественным наблюдателям форму общественного наблюдения за проведением экзамена в ППЭ);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должностных лиц Рособрнадзора, иных лиц, определенных Рособрнадзором, а также должностных лиц Министерства, при наличии у них документов, удостоверяющих личность и подтверждающих их полномочия.</w:t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Не ранее 09:00 по местному времени обеспечить допуск: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участников ГВЭ при наличии у них документов, удостоверяющих личность, и при наличии их в списках распределения в данный ППЭ;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сопровождающих</w:t>
      </w:r>
      <w:r>
        <w:rPr>
          <w:rStyle w:val="FootnoteReference"/>
          <w:sz w:val="28"/>
          <w:vertAlign w:val="superscript"/>
        </w:rPr>
        <w:footnoteReference w:id="22"/>
      </w:r>
      <w:r>
        <w:rPr>
          <w:sz w:val="28"/>
        </w:rPr>
        <w:t>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 случае отсутствия у участника ГВЭ документа, удостоверяющего личность, при наличии его в списках распределения в данный ППЭ он допускается в ППЭ после подтверждения его личности сопровождающим.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При отсутствии участника ГВЭ в списках распределения в данный ППЭ, участник ГВЭ в ППЭ не допускается</w:t>
      </w:r>
      <w:r>
        <w:rPr>
          <w:rStyle w:val="FootnoteReference"/>
          <w:sz w:val="28"/>
          <w:vertAlign w:val="superscript"/>
        </w:rPr>
        <w:footnoteReference w:id="23"/>
      </w:r>
      <w:r>
        <w:rPr>
          <w:sz w:val="28"/>
        </w:rPr>
        <w:t>, заполняется форма ППЭ-24.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 случае отказа участника ГВЭ от сдачи запрещенного средства</w:t>
      </w:r>
      <w:r>
        <w:rPr>
          <w:rStyle w:val="FootnoteReference"/>
          <w:sz w:val="28"/>
          <w:vertAlign w:val="superscript"/>
        </w:rPr>
        <w:footnoteReference w:id="24"/>
      </w:r>
      <w:r>
        <w:rPr>
          <w:sz w:val="28"/>
        </w:rPr>
        <w:t xml:space="preserve"> – приглашает члена ГЭК для составления акт о недопуске указанного участника ГВЭ в ППЭ</w:t>
      </w:r>
      <w:r>
        <w:rPr>
          <w:rStyle w:val="FootnoteReference"/>
          <w:sz w:val="28"/>
          <w:vertAlign w:val="superscript"/>
        </w:rPr>
        <w:footnoteReference w:id="25"/>
      </w:r>
      <w:r>
        <w:rPr>
          <w:sz w:val="28"/>
        </w:rPr>
        <w:t xml:space="preserve"> по форме ППЭ-24.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Не позднее 09:45 по местному времени выдать в Штабе ППЭ ответственным организаторам в аудиториях ЭМ по форме ППЭ-14-02-ГВЭ «Ведомость учета экзаменационных материалов», в том числе ДБО.</w:t>
      </w:r>
    </w:p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Во время проведения ГВЭ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ListParagraph1"/>
        <w:numPr>
          <w:ilvl w:val="0"/>
          <w:numId w:val="12"/>
        </w:numPr>
        <w:tabs>
          <w:tab w:val="clear" w:pos="709"/>
          <w:tab w:val="left" w:pos="1112" w:leader="none"/>
        </w:tabs>
        <w:spacing w:lineRule="auto" w:line="252" w:before="2" w:after="0"/>
        <w:ind w:firstLine="740" w:left="0" w:right="117"/>
        <w:jc w:val="both"/>
        <w:rPr>
          <w:sz w:val="28"/>
        </w:rPr>
      </w:pPr>
      <w:r>
        <w:rPr>
          <w:sz w:val="28"/>
        </w:rPr>
        <w:t>В случае если участник ГВЭ опоздал на экзамен</w:t>
      </w:r>
      <w:r>
        <w:rPr>
          <w:rStyle w:val="FootnoteReference"/>
          <w:sz w:val="28"/>
          <w:vertAlign w:val="superscript"/>
        </w:rPr>
        <w:footnoteReference w:id="26"/>
      </w:r>
      <w:r>
        <w:rPr>
          <w:sz w:val="28"/>
        </w:rPr>
        <w:t>– он допускается в ППЭ к сдаче экзамена, при этом время окончания экзамена, зафиксированное на доске (информационном стенде) организаторами, не продлевается, инструктаж, проводимый организаторами, не проводится (за исключением, когда в аудитории нет других участников ГВЭ), о чем сообщается участнику ГВЭ. Составляется акт об опоздании участника ГВЭ в двух экземплярах. Указанный акт подписывает участник ГВЭ, руководитель ППЭ и член ГЭК, один акт передается участнику ГВЭ, второй остается в ППЭ.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Организаторам в аудитории, в которую распределен опоздавший участник экзамена: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передает инструкцию для участника экзамена, зачитываемую организатором в аудитории перед началом экзамена, в распечатанном виде опоздавшему участникам экзамена;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передает журнал для ознакомления опоздавших участников экзамена, с тем что участники экзамена ознакомлены с порядком проведения экзамена и с установленной ответственностью за нарушение Порядка.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b/>
          <w:sz w:val="28"/>
        </w:rPr>
        <w:t>В случае если в течение двух часов от начала экзамена ни один из участников ГВЭ, распределенных в ППЭ и (или) отдельные аудитории ППЭ, не явился в ППЭ (отдельные аудитории ППЭ),</w:t>
      </w:r>
      <w:r>
        <w:rPr>
          <w:sz w:val="28"/>
        </w:rPr>
        <w:t xml:space="preserve"> – сообщить об этом члену ГЭК, который по согласованию с председателем ГЭК принимает решение об остановке экзамена в ППЭ или отдельных аудиториях ППЭ.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Руководитель ППЭ совместно с членами ГЭК осуществляет контроль за ходом проведения экзамена, проверяет помещения ППЭ на предмет присутствия посторонних лиц, содействует членам ГЭК в проведении проверки сведений и фактов, изложенных в апелляции о нарушении Порядка, в случае подачи такой апелляции участником ГВЭ.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b/>
          <w:sz w:val="28"/>
        </w:rPr>
        <w:t>В случае нарушения требований Порядка:</w:t>
      </w:r>
      <w:r>
        <w:rPr>
          <w:sz w:val="28"/>
        </w:rPr>
        <w:t xml:space="preserve"> пригласить члена ГЭК, который составит акт об удалении из ППЭ и удалит лиц, нарушивших Порядок, из ППЭ.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Завершение ГВЭ в ППЭ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sz w:val="28"/>
        </w:rPr>
        <w:t xml:space="preserve">После проведения экзамена руководитель ППЭ должен в Штабе ППЭ за специально подготовленным столом, находящимся в зоне видимости камер видеонаблюдения, в присутствии членов ГЭК </w:t>
      </w:r>
      <w:r>
        <w:rPr>
          <w:b/>
          <w:sz w:val="28"/>
        </w:rPr>
        <w:t>получает от всех ответственных организаторов в аудитории, а также от технических специалистов следующие материалы: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запечатанные ВДП с бланками</w:t>
      </w:r>
      <w:r>
        <w:rPr>
          <w:rStyle w:val="FootnoteReference"/>
          <w:sz w:val="28"/>
          <w:vertAlign w:val="superscript"/>
        </w:rPr>
        <w:footnoteReference w:id="27"/>
      </w:r>
      <w:r>
        <w:rPr>
          <w:sz w:val="28"/>
        </w:rPr>
        <w:t xml:space="preserve">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запечатанные конверты с КИМ;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использованные черновики;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г) неиспользованные (или имеющие полиграфические дефекты) бланки;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д) неиспользованные ДБО;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е) неиспользованные черновики;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ж) запечатанные конверты с электронными (внешними) носителями с записанными на них файлами, содержащими ответы участников ГВЭ на задания КИМ (при проведении ГВЭ в устной форме) (передаются техническим специалистом);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з) формы ППЭ (ППЭ-05-02-ГВЭ «Протокол проведения ГВЭ в аудитории»; ППЭ-12-02 «Ведомость коррекции персональных данных участников экзамена в аудитории»; ППЭ-12-04-МАШ «Ведомость учета времени отсутствия участников экзамена в аудитории»);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и) служебные записки (при наличии).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Специально предусмотренные тетради для записи ответов на задания КИМ, выполненные слепыми участниками ГВЭ рельефно-точечным шрифтом Брайля, и бланки передаются в Комиссию тифлопереводчиков, которая работает в специально выделенном и оборудованном помещении (аудитории) в ППЭ, РЦОИ.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После приема ЭМ руководитель ППЭ:</w:t>
      </w:r>
    </w:p>
    <w:p>
      <w:pPr>
        <w:pStyle w:val="111"/>
        <w:numPr>
          <w:ilvl w:val="0"/>
          <w:numId w:val="13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передает все необходимые материалы члену (-ам) ГЭК;</w:t>
      </w:r>
    </w:p>
    <w:p>
      <w:pPr>
        <w:pStyle w:val="111"/>
        <w:numPr>
          <w:ilvl w:val="0"/>
          <w:numId w:val="13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заполняет совместно с членом ГЭК форму ППЭ-14-02-ГВЭ «Ведомость учета экзаменационных материалов».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b/>
          <w:sz w:val="28"/>
        </w:rPr>
        <w:t>В случае сканирования экзаменационных работ участников ГВЭ в Штабе ППЭ в зоне видимости камер видеонаблюдения:</w:t>
      </w:r>
      <w:r>
        <w:rPr>
          <w:sz w:val="28"/>
        </w:rPr>
        <w:t xml:space="preserve"> присутствует совместно с членом ГЭК, общественными наблюдателями (при наличии) при сканировании экзаменационных работ техническими специалистами.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b/>
          <w:sz w:val="28"/>
        </w:rPr>
        <w:t xml:space="preserve">В случае сканирования экзаменационных работ участников ГВЭ в Штабе ППЭ </w:t>
      </w:r>
      <w:r>
        <w:rPr>
          <w:sz w:val="28"/>
        </w:rPr>
        <w:t>неиспользованные и использованные ЭМ, электронные (внешние) носители с файлами, содержащими ответы участников экзаменов на задания КИМ (при проведении ГВЭ в устной форме) (при наличии), и использованные черновики хранятся в ППЭ, по истечении установленных сроков – направляются в места хранения.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После окончания экзамена член ГЭК доставляет ЭМ в РЦОИ. В случае сканирования экзаменационных работ участников ГВЭ в ППЭ, материалы доставляются после их сканирования. Использованные черновики хранятся в ППЭ в течении месяца, затем уничтожаются в ППЭ.</w:t>
      </w:r>
    </w:p>
    <w:p>
      <w:pPr>
        <w:pStyle w:val="111"/>
        <w:spacing w:before="0" w:after="260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Heading2"/>
        <w:numPr>
          <w:ilvl w:val="0"/>
          <w:numId w:val="5"/>
        </w:numPr>
        <w:ind w:hanging="0" w:left="0" w:right="0"/>
        <w:rPr/>
      </w:pPr>
      <w:bookmarkStart w:id="14" w:name="__RefHeading___11"/>
      <w:bookmarkEnd w:id="14"/>
      <w:r>
        <w:rPr/>
        <w:t>Инструкция для организатора в аудитории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Требования к организаторам, предъявляемые Порядком: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прохождение соответствующей подготовки;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не являются специалистами по учебному предмету при проведении ГИА в ППЭ по данному учебному предмету;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не являются близкими родственниками, а также супругами, усыновителями, усыновленными участников ГИА, сдающих экзамен в данном ППЭ;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г) не являются педагогическими работниками, являющимися учителями участников ГИА, сдающих экзамен в данном ППЭ</w:t>
      </w:r>
      <w:r>
        <w:rPr>
          <w:rStyle w:val="FootnoteReference"/>
          <w:sz w:val="28"/>
          <w:vertAlign w:val="superscript"/>
        </w:rPr>
        <w:footnoteReference w:id="28"/>
      </w:r>
      <w:r>
        <w:rPr>
          <w:sz w:val="28"/>
        </w:rPr>
        <w:t>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Организатор информируется под подпись о сроках, местах и порядке проведения ГИА,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работников ППЭ, нарушивших Порядок.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spacing w:before="0" w:after="240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Подготовка к проведению ГИА в форме ГВЭ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Организатор в аудитории должен заблаговременно проходит инструктаж по порядку и процедуре проведения ГИА и знакомится с: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а) нормативными правовыми актами, регламентирующими проведение ГИА;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б) инструкцией, определяющей порядок работы организаторов в аудитории;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правилами заполнения бланков, ДБО;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г) правилами оформления ведомостей, протоколов и актов, заполняемых при проведении ГИА в аудиториях.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spacing w:before="0" w:after="24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  <w:r>
        <w:br w:type="page"/>
      </w:r>
    </w:p>
    <w:p>
      <w:pPr>
        <w:pStyle w:val="Normal"/>
        <w:spacing w:before="0" w:after="24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Проведение ГИА в форме ГВЭ в ППЭ</w:t>
      </w:r>
    </w:p>
    <w:tbl>
      <w:tblPr>
        <w:tblStyle w:val="Style_9"/>
        <w:tblW w:w="1052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7"/>
      </w:tblGrid>
      <w:tr>
        <w:trPr>
          <w:trHeight w:val="5721" w:hRule="atLeast"/>
        </w:trPr>
        <w:tc>
          <w:tcPr>
            <w:tcW w:w="10527" w:type="dxa"/>
            <w:tcBorders/>
          </w:tcPr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Организатору в аудитории необходимо помнить, что экзамен проводится в спокойной и доброжелательной обстановке.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В день проведения экзамена в ППЭ организатору в аудитории запрещается: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а) иметь при себе средства связи, электронно-вычислительную технику, фото-, видеоаппаратуру, справочные материалы, письменные заметки и иные средства хранения и передачи информации, в том числе иметь при себе художественную литературу и т.д.;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б) оказывать содействие участникам ГИА,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в) выносить из аудитории и ППЭ черновики, ЭМ на бумажном и (или) электронном носителях, фотографировать ЭМ, черновики;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pacing w:val="0"/>
                <w:kern w:val="0"/>
                <w:szCs w:val="20"/>
              </w:rPr>
            </w:pPr>
            <w:r>
              <w:rPr>
                <w:spacing w:val="0"/>
                <w:kern w:val="0"/>
                <w:sz w:val="28"/>
                <w:szCs w:val="20"/>
              </w:rPr>
              <w:t>г) покидать ППЭ в день проведения экзамена</w:t>
            </w:r>
            <w:r>
              <w:rPr>
                <w:rStyle w:val="FootnoteReference"/>
                <w:spacing w:val="0"/>
                <w:kern w:val="0"/>
                <w:sz w:val="28"/>
                <w:szCs w:val="20"/>
                <w:vertAlign w:val="superscript"/>
              </w:rPr>
              <w:footnoteReference w:id="29"/>
            </w:r>
            <w:r>
              <w:rPr>
                <w:spacing w:val="0"/>
                <w:kern w:val="0"/>
                <w:sz w:val="28"/>
                <w:szCs w:val="20"/>
              </w:rPr>
              <w:t xml:space="preserve"> (до окончания процедур, предусмотренных Порядком).</w:t>
            </w:r>
          </w:p>
        </w:tc>
      </w:tr>
    </w:tbl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spacing w:before="0" w:after="240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В день проведения ГВЭ организатору в аудитории ППЭ следует:</w:t>
      </w:r>
    </w:p>
    <w:p>
      <w:pPr>
        <w:pStyle w:val="111"/>
        <w:numPr>
          <w:ilvl w:val="0"/>
          <w:numId w:val="14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 xml:space="preserve">прибыть в ППЭ </w:t>
      </w:r>
      <w:r>
        <w:rPr>
          <w:b/>
          <w:sz w:val="28"/>
        </w:rPr>
        <w:t>не позднее 09.00 по местному времени</w:t>
      </w:r>
      <w:r>
        <w:rPr>
          <w:sz w:val="28"/>
        </w:rPr>
        <w:t>;</w:t>
      </w:r>
    </w:p>
    <w:p>
      <w:pPr>
        <w:pStyle w:val="111"/>
        <w:numPr>
          <w:ilvl w:val="0"/>
          <w:numId w:val="14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оставить личные вещи в месте хранения личных вещей, расположенном до входа в ППЭ;</w:t>
      </w:r>
    </w:p>
    <w:p>
      <w:pPr>
        <w:pStyle w:val="111"/>
        <w:numPr>
          <w:ilvl w:val="0"/>
          <w:numId w:val="14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зарегистрироваться у организатора, назначенного руководителем ППЭ, ответственным за регистрацию, лиц, привлекаемых к организации и проведению экзаменов;</w:t>
      </w:r>
    </w:p>
    <w:p>
      <w:pPr>
        <w:pStyle w:val="111"/>
        <w:numPr>
          <w:ilvl w:val="0"/>
          <w:numId w:val="14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пройти инструктаж у руководителя ППЭ по процедуре проведения ГВЭ;</w:t>
      </w:r>
    </w:p>
    <w:p>
      <w:pPr>
        <w:pStyle w:val="111"/>
        <w:numPr>
          <w:ilvl w:val="0"/>
          <w:numId w:val="14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получить у руководителя ППЭ информацию о назначении ответственных организаторов в аудитории в соответствии со списком распределения организаторов по аудиториям (форма ППЭ-07 «Список работников ППЭ и общественных наблюдателей»);</w:t>
      </w:r>
    </w:p>
    <w:p>
      <w:pPr>
        <w:pStyle w:val="111"/>
        <w:numPr>
          <w:ilvl w:val="0"/>
          <w:numId w:val="14"/>
        </w:numPr>
        <w:tabs>
          <w:tab w:val="clear" w:pos="709"/>
          <w:tab w:val="left" w:pos="993" w:leader="none"/>
        </w:tabs>
        <w:ind w:firstLine="709" w:left="0" w:right="0"/>
        <w:jc w:val="both"/>
        <w:rPr>
          <w:b/>
          <w:sz w:val="28"/>
        </w:rPr>
      </w:pPr>
      <w:r>
        <w:rPr>
          <w:b/>
          <w:sz w:val="28"/>
        </w:rPr>
        <w:t>получить у руководителя ППЭ: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формы ППЭ-05-01-ГВЭ «Список участников ГВЭ в аудитории ППЭ» (два экземпляра), ППЭ-05-02-ГВЭ «Протокол проведения ГВЭ в аудитории», ППЭ-12-02 «Ведомость коррекции персональных данных участников экзамена в аудитории», ППЭ-12-04-МАШ «Ведомость учета времени отсутствия участников экзамена в аудитории»; ППЭ- 16 «Расшифровка кодов образовательных организаций ППЭ»;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инструкцию для участника ГВЭ, зачитываемую организатором в аудитории перед началом экзамена (одна инструкция на аудиторию</w:t>
      </w:r>
      <w:r>
        <w:rPr>
          <w:rStyle w:val="FootnoteReference"/>
          <w:sz w:val="28"/>
          <w:vertAlign w:val="superscript"/>
        </w:rPr>
        <w:footnoteReference w:id="30"/>
      </w:r>
      <w:r>
        <w:rPr>
          <w:sz w:val="28"/>
        </w:rPr>
        <w:t>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табличку с номером аудитории;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г) ножницы для вскрытия пакета с ЭМ</w:t>
      </w:r>
      <w:r>
        <w:rPr>
          <w:rStyle w:val="FootnoteReference"/>
          <w:sz w:val="28"/>
          <w:vertAlign w:val="superscript"/>
        </w:rPr>
        <w:footnoteReference w:id="31"/>
      </w:r>
      <w:r>
        <w:rPr>
          <w:sz w:val="28"/>
        </w:rPr>
        <w:t>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д) черновики (минимальное количество черновиков: два на одного участника);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е) конверты для упаковки КИМ, электронных (внешних) носителей для записи на них файлов, содержащих ответы участников ГВЭ на задания КИМ (в случае проведения ГВЭ в устной форме);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ж) электронные (внешние) носители для записи на них файлов, содержащих ответы участников ГВЭ на задания КИМ (в случае проведения ГВЭ в устной форме);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з) напечатанные правила по заполнению бланков ГВЭ, инструкцию, зачитываемую организатором в аудитории перед началом экзамена</w:t>
      </w:r>
      <w:r>
        <w:rPr>
          <w:rStyle w:val="FootnoteReference"/>
          <w:sz w:val="28"/>
          <w:vertAlign w:val="superscript"/>
        </w:rPr>
        <w:footnoteReference w:id="32"/>
      </w:r>
      <w:r>
        <w:rPr>
          <w:sz w:val="28"/>
        </w:rPr>
        <w:t>, для выдачи участникам ГВЭ – глухим, слабослышащим, позднооглохшим и кохлеарно имплантированным, участникам ГВЭ с расстройствами аутистического спектра;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и) напечатанную Памятку для слепых и слабовидящих участников экзаменов по заполнению шрифтом Брайля специальных тетрадей для записи ответов.</w:t>
      </w:r>
    </w:p>
    <w:p>
      <w:pPr>
        <w:pStyle w:val="111"/>
        <w:numPr>
          <w:ilvl w:val="0"/>
          <w:numId w:val="14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b/>
          <w:sz w:val="28"/>
        </w:rPr>
        <w:t>не позднее 9.00 по местному времени</w:t>
      </w:r>
      <w:r>
        <w:rPr>
          <w:sz w:val="28"/>
        </w:rPr>
        <w:t xml:space="preserve"> пройти в свою аудиторию, проверить ее готовность к экзамену и приступить к выполнению своих обязанностей;</w:t>
      </w:r>
    </w:p>
    <w:p>
      <w:pPr>
        <w:pStyle w:val="111"/>
        <w:numPr>
          <w:ilvl w:val="0"/>
          <w:numId w:val="14"/>
        </w:numPr>
        <w:tabs>
          <w:tab w:val="clear" w:pos="709"/>
          <w:tab w:val="left" w:pos="993" w:leader="none"/>
        </w:tabs>
        <w:ind w:firstLine="709" w:left="0" w:right="0"/>
        <w:jc w:val="both"/>
        <w:rPr>
          <w:b/>
          <w:sz w:val="28"/>
        </w:rPr>
      </w:pPr>
      <w:r>
        <w:rPr>
          <w:b/>
          <w:sz w:val="28"/>
        </w:rPr>
        <w:t>организатору в аудитории необходимо: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вывесить у входа в аудиторию один экземпляр списка участников ГИА (форма ППЭ-05-01-ГВЭ «Список участников ГВЭ в аудитории ППЭ»);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раздать на рабочие места участников ГВЭ черновики (минимальное количество черновиков: два на одного участника ГИА);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подготовить на доске необходимую информацию для заполнения регистрационных полей бланков</w:t>
      </w:r>
      <w:r>
        <w:rPr>
          <w:rStyle w:val="FootnoteReference"/>
          <w:sz w:val="28"/>
          <w:vertAlign w:val="superscript"/>
        </w:rPr>
        <w:footnoteReference w:id="33"/>
      </w:r>
      <w:r>
        <w:rPr>
          <w:sz w:val="28"/>
        </w:rPr>
        <w:t xml:space="preserve"> с использованием полученной у руководителя ППЭ формы ППЭ-16 «Расшифровка кодов образовательных организаций ППЭ»;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г) проверить наличие в аудитории настроенных на точное время часов, находящихся в поле зрения участников ГВЭ;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д) настроить средства цифровой аудиозаписи для осуществления качественной записи устных ответов (при проведении ГВЭ в устной форме) (в случае если настройку указанных средств осуществляют организаторы, а не технические специалисты).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b/>
          <w:sz w:val="28"/>
        </w:rPr>
        <w:t xml:space="preserve">До входа в аудиторию </w:t>
      </w:r>
      <w:r>
        <w:rPr>
          <w:sz w:val="28"/>
        </w:rPr>
        <w:t>участники оставляют продукты питания для дополнительного приема пищи (перекус), бутилированную питьевую воду (при необходимости).</w:t>
      </w:r>
    </w:p>
    <w:p>
      <w:pPr>
        <w:pStyle w:val="111"/>
        <w:spacing w:before="0" w:after="240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Вход участников ГВЭ в аудиторию</w:t>
      </w:r>
    </w:p>
    <w:tbl>
      <w:tblPr>
        <w:tblStyle w:val="Style_9"/>
        <w:tblW w:w="1052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7"/>
      </w:tblGrid>
      <w:tr>
        <w:trPr/>
        <w:tc>
          <w:tcPr>
            <w:tcW w:w="10527" w:type="dxa"/>
            <w:tcBorders/>
          </w:tcPr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Участники ГВЭ могут взять в аудиторию: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а) гелевые или капиллярные ручки с чернилами черного цвета;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б) документ, удостоверяющий личность;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в) средства обучения и воспитания, которыми разрешено пользоваться для выполнения экзаменационной работы;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г) лекарства (при необходимости);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pacing w:val="0"/>
                <w:kern w:val="0"/>
                <w:szCs w:val="20"/>
              </w:rPr>
            </w:pPr>
            <w:r>
              <w:rPr>
                <w:spacing w:val="0"/>
                <w:kern w:val="0"/>
                <w:sz w:val="28"/>
                <w:szCs w:val="20"/>
              </w:rPr>
              <w:t>д) специальные технические средства для участников ГВЭ с ОВЗ, участников ГВЭ- детей-инвалидов и инвалидов.</w:t>
            </w:r>
          </w:p>
        </w:tc>
      </w:tr>
    </w:tbl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numPr>
          <w:ilvl w:val="0"/>
          <w:numId w:val="15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провести идентификацию личности по документу, удостоверяющему личность участника ГВЭ, проверить корректность указанных в протоколе (форма ППЭ-05-02-ГВЭ «Протокол проведения ГВЭ в аудитории») данных документа, удостоверяющего личность;</w:t>
      </w:r>
    </w:p>
    <w:p>
      <w:pPr>
        <w:pStyle w:val="111"/>
        <w:numPr>
          <w:ilvl w:val="0"/>
          <w:numId w:val="15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в случае расхождения персональных данных участника ГВЭ в документе, удостоверяющем личность, с данными в форме ППЭ-05-02-ГВЭ «Протокол проведения ГВЭ в аудитории» организатор в аудитории заполняет форму ППЭ-12-02 «Ведомость коррекции персональных данных участников экзамена в аудитории»;</w:t>
      </w:r>
    </w:p>
    <w:p>
      <w:pPr>
        <w:pStyle w:val="111"/>
        <w:numPr>
          <w:ilvl w:val="0"/>
          <w:numId w:val="15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сообщить участнику ГВЭ номер его рабочего места в аудитории (форма ППЭ-05- 01-ГВЭ «Список участников ГВЭ в аудитории ППЭ»);</w:t>
      </w:r>
    </w:p>
    <w:p>
      <w:pPr>
        <w:pStyle w:val="111"/>
        <w:numPr>
          <w:ilvl w:val="0"/>
          <w:numId w:val="15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проследить, чтобы участник ГВЭ занял отведенное ему рабочее место строго в соответствии со списком распределения;</w:t>
      </w:r>
    </w:p>
    <w:p>
      <w:pPr>
        <w:pStyle w:val="111"/>
        <w:numPr>
          <w:ilvl w:val="0"/>
          <w:numId w:val="15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следить, чтобы участники ГВЭ не менялись местами.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Ответственный организатор в аудитории должен </w:t>
      </w:r>
      <w:r>
        <w:rPr>
          <w:b/>
          <w:sz w:val="28"/>
        </w:rPr>
        <w:t>не позднее 09.45 по местному времени получает в Штабе ППЭ у руководителя ППЭ ЭМ</w:t>
      </w:r>
      <w:r>
        <w:rPr>
          <w:sz w:val="28"/>
        </w:rPr>
        <w:t xml:space="preserve"> по форме ППЭ-14-02-ГВЭ «Ведомость учета экзаменационных материалов», в том числе ДБО.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spacing w:before="0" w:after="240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Проведение ГИА в форме ГВЭ в аудитории</w:t>
      </w:r>
    </w:p>
    <w:p>
      <w:pPr>
        <w:pStyle w:val="111"/>
        <w:numPr>
          <w:ilvl w:val="0"/>
          <w:numId w:val="16"/>
        </w:numPr>
        <w:tabs>
          <w:tab w:val="clear" w:pos="709"/>
          <w:tab w:val="left" w:pos="993" w:leader="none"/>
        </w:tabs>
        <w:ind w:firstLine="709" w:left="0" w:right="0"/>
        <w:jc w:val="both"/>
        <w:rPr>
          <w:b/>
          <w:sz w:val="28"/>
        </w:rPr>
      </w:pPr>
      <w:r>
        <w:rPr>
          <w:b/>
          <w:sz w:val="28"/>
        </w:rPr>
        <w:t>Организатор в аудитории проводит инструктаж участников экзамена.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Инструктаж</w:t>
      </w:r>
      <w:r>
        <w:rPr>
          <w:rStyle w:val="FootnoteReference"/>
          <w:sz w:val="28"/>
          <w:vertAlign w:val="superscript"/>
        </w:rPr>
        <w:footnoteReference w:id="34"/>
      </w:r>
      <w:r>
        <w:rPr>
          <w:sz w:val="28"/>
        </w:rPr>
        <w:t xml:space="preserve"> состоит из двух частей. Первая часть инструктажа проводится с 09.50 по местному времени и включает в себя информирование участников ГВЭ о порядке проведения экзамена, об основаниях для удаления из ППЭ, о процедуре досрочного завершения экзамена по объективным причинам, правилах заполнения бланков и ДБО, продолжительности экзамена по соответствующему учебному предмету, порядке и сроках подачи апелляций о нарушении Порядка и о несогласии с выставленными баллами, а также о времени и месте ознакомления с результатами ГВЭ.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Организаторы информируют участников ГВЭ о том, что записи на КИМ и черновиках не обрабатываются и не проверяются.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b/>
          <w:sz w:val="28"/>
        </w:rPr>
        <w:t>Участникам ГВЭ - глухим, слабослышащим, позднооглохшим и кохлеарно- имплантированным, участникам ГВЭ с расстройствами аутистического спектра</w:t>
      </w:r>
      <w:r>
        <w:rPr>
          <w:sz w:val="28"/>
        </w:rPr>
        <w:t xml:space="preserve"> необходимо раздать в напечатанном виде «Правила по заполнению бланков ГВЭ» и «Инструкцию для участника ГВЭ, зачитываемую организатором в аудитории перед началом экзамена»</w:t>
      </w:r>
      <w:r>
        <w:rPr>
          <w:sz w:val="28"/>
          <w:vertAlign w:val="superscript"/>
        </w:rPr>
        <w:t xml:space="preserve"> </w:t>
      </w:r>
      <w:r>
        <w:rPr>
          <w:rStyle w:val="FootnoteReference"/>
          <w:sz w:val="28"/>
          <w:vertAlign w:val="superscript"/>
        </w:rPr>
        <w:footnoteReference w:id="35"/>
      </w:r>
      <w:r>
        <w:rPr>
          <w:sz w:val="28"/>
        </w:rPr>
        <w:t>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Слепым и слабовидящим участникам ГВЭ, выполняющим экзаменационную работу шрифтом Брайля необходимо раздать «Памятку для слепых и слабовидящих участников экзаменов по заполнению шрифтом Брайля специальных тетрадей для записи ответов».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b/>
          <w:sz w:val="28"/>
        </w:rPr>
        <w:t>Выдача ЭМ начинается не ранее 10.00 по местному времени, при этом необходимо</w:t>
      </w:r>
      <w:r>
        <w:rPr>
          <w:sz w:val="28"/>
        </w:rPr>
        <w:t>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выдать в произвольном порядке участникам ГВЭ ЭМ</w:t>
      </w:r>
      <w:r>
        <w:rPr>
          <w:rStyle w:val="FootnoteReference"/>
          <w:sz w:val="28"/>
          <w:vertAlign w:val="superscript"/>
        </w:rPr>
        <w:footnoteReference w:id="36"/>
      </w:r>
      <w:r>
        <w:rPr>
          <w:sz w:val="28"/>
        </w:rPr>
        <w:t>;</w:t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провести вторую часть инструктажа, при которой организатору следует: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дать указание участникам экзамена проверить качество и комплектность ЭМ;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в случае обнаружения брака или некомплектности ЭМ – выдать участнику ГВЭ новые ЭМ;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дать указание участникам ГВЭ приступить к заполнению регистрационных полей бланков;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г) проверить у каждого участника ГВЭ правильность заполнения им регистрационных полей бланков и соответствие данных участника ГВЭ (ФИО, серию и номер документа, удостоверяющего личность) в бланке и документе, удостоверяющем личность;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д) в случае если участник ГВЭ отказывается ставить личную подпись в бланке, организатор в аудитории ставит в указанном бланке свою подпись</w:t>
      </w:r>
      <w:r>
        <w:rPr>
          <w:rStyle w:val="FootnoteReference"/>
          <w:sz w:val="28"/>
          <w:vertAlign w:val="superscript"/>
        </w:rPr>
        <w:footnoteReference w:id="37"/>
      </w:r>
      <w:r>
        <w:rPr>
          <w:sz w:val="28"/>
        </w:rPr>
        <w:t>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е) после проверки правильности заполнения всеми участниками ГВЭ регистрационных полей бланков – объявить начало экзамена и время его окончания, зафиксировать их на доске (информационном стенде), после чего участники ГВЭ приступают к выполнению экзаменационной работы</w:t>
      </w:r>
      <w:r>
        <w:rPr>
          <w:rStyle w:val="FootnoteReference"/>
          <w:sz w:val="28"/>
          <w:vertAlign w:val="superscript"/>
        </w:rPr>
        <w:footnoteReference w:id="38"/>
      </w:r>
      <w:r>
        <w:rPr>
          <w:sz w:val="28"/>
        </w:rPr>
        <w:t>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spacing w:before="0" w:after="240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Продолжительность выполнения экзаменационной работы ГВЭ (письменная и устная формы)</w:t>
      </w:r>
    </w:p>
    <w:tbl>
      <w:tblPr>
        <w:tblStyle w:val="Style_9"/>
        <w:tblW w:w="10473" w:type="dxa"/>
        <w:jc w:val="left"/>
        <w:tblInd w:w="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2128"/>
        <w:gridCol w:w="2153"/>
        <w:gridCol w:w="2128"/>
        <w:gridCol w:w="2619"/>
      </w:tblGrid>
      <w:tr>
        <w:trPr>
          <w:tblHeader w:val="true"/>
        </w:trPr>
        <w:tc>
          <w:tcPr>
            <w:tcW w:w="14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Название учебного предмета</w:t>
            </w:r>
          </w:p>
        </w:tc>
        <w:tc>
          <w:tcPr>
            <w:tcW w:w="212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-1"/>
                <w:kern w:val="0"/>
                <w:sz w:val="24"/>
                <w:szCs w:val="20"/>
              </w:rPr>
              <w:t xml:space="preserve">Продолжительность </w:t>
            </w: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выполнения экзаменационной работы (письменная</w:t>
            </w:r>
            <w:r>
              <w:rPr>
                <w:rFonts w:ascii="Times New Roman" w:hAnsi="Times New Roman"/>
                <w:b/>
                <w:spacing w:val="-4"/>
                <w:kern w:val="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форма)</w:t>
            </w:r>
          </w:p>
        </w:tc>
        <w:tc>
          <w:tcPr>
            <w:tcW w:w="21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Продолжительность выполнения экзаменационной работы (письменная форма) участниками ГВЭ - обучающимися с ОВЗ, детьми- инвалидами и инвалидами</w:t>
            </w:r>
          </w:p>
        </w:tc>
        <w:tc>
          <w:tcPr>
            <w:tcW w:w="2128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1"/>
              <w:widowControl w:val="false"/>
              <w:suppressAutoHyphens w:val="true"/>
              <w:spacing w:lineRule="auto" w:line="240" w:before="212" w:after="0"/>
              <w:ind w:hanging="0" w:left="0" w:right="0"/>
              <w:jc w:val="center"/>
              <w:rPr>
                <w:b/>
                <w:sz w:val="24"/>
              </w:rPr>
            </w:pPr>
            <w:r>
              <w:rPr>
                <w:b/>
                <w:spacing w:val="0"/>
                <w:kern w:val="0"/>
                <w:sz w:val="24"/>
                <w:szCs w:val="20"/>
              </w:rPr>
              <w:t>Продолжительность подготовки ответов на вопросы экзаменационных</w:t>
            </w:r>
            <w:r>
              <w:rPr>
                <w:b/>
                <w:spacing w:val="-3"/>
                <w:kern w:val="0"/>
                <w:sz w:val="24"/>
                <w:szCs w:val="20"/>
              </w:rPr>
              <w:t xml:space="preserve"> </w:t>
            </w:r>
            <w:r>
              <w:rPr>
                <w:b/>
                <w:spacing w:val="0"/>
                <w:kern w:val="0"/>
                <w:sz w:val="24"/>
                <w:szCs w:val="20"/>
              </w:rPr>
              <w:t>заданий в устной</w:t>
            </w:r>
            <w:r>
              <w:rPr>
                <w:b/>
                <w:spacing w:val="-3"/>
                <w:kern w:val="0"/>
                <w:sz w:val="24"/>
                <w:szCs w:val="20"/>
              </w:rPr>
              <w:t xml:space="preserve"> </w:t>
            </w:r>
            <w:r>
              <w:rPr>
                <w:b/>
                <w:spacing w:val="0"/>
                <w:kern w:val="0"/>
                <w:sz w:val="24"/>
                <w:szCs w:val="20"/>
              </w:rPr>
              <w:t>форме</w:t>
            </w:r>
          </w:p>
        </w:tc>
        <w:tc>
          <w:tcPr>
            <w:tcW w:w="2619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/>
                <w:sz w:val="24"/>
              </w:rPr>
            </w:pPr>
            <w:r>
              <w:rPr>
                <w:b/>
                <w:spacing w:val="0"/>
                <w:kern w:val="0"/>
                <w:sz w:val="24"/>
                <w:szCs w:val="20"/>
              </w:rPr>
              <w:t>Продолжительность подготовки ответов на вопросы экзаменационных заданий в устной форме участниками ГВЭ - обучающимися с ОВЗ, детьми- инвалидами и инвалидами</w:t>
            </w:r>
          </w:p>
        </w:tc>
      </w:tr>
      <w:tr>
        <w:trPr/>
        <w:tc>
          <w:tcPr>
            <w:tcW w:w="1445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22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Русский язык</w:t>
            </w:r>
          </w:p>
        </w:tc>
        <w:tc>
          <w:tcPr>
            <w:tcW w:w="2128" w:type="dxa"/>
            <w:vMerge w:val="restart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exact" w:line="252" w:before="49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3 часа 55 минут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(235 минут)</w:t>
            </w:r>
          </w:p>
        </w:tc>
        <w:tc>
          <w:tcPr>
            <w:tcW w:w="215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5 часов 25 минут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(325 минут)</w:t>
            </w:r>
          </w:p>
        </w:tc>
        <w:tc>
          <w:tcPr>
            <w:tcW w:w="2128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22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1 час (60 минут)</w:t>
            </w:r>
          </w:p>
        </w:tc>
        <w:tc>
          <w:tcPr>
            <w:tcW w:w="2619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22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2 часа 30 минут</w:t>
            </w:r>
          </w:p>
          <w:p>
            <w:pPr>
              <w:pStyle w:val="TableParagraph1"/>
              <w:widowControl w:val="false"/>
              <w:suppressAutoHyphens w:val="true"/>
              <w:spacing w:lineRule="auto" w:line="240" w:before="22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(150 минут)</w:t>
            </w:r>
          </w:p>
        </w:tc>
      </w:tr>
      <w:tr>
        <w:trPr/>
        <w:tc>
          <w:tcPr>
            <w:tcW w:w="1445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20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Математика</w:t>
            </w:r>
          </w:p>
        </w:tc>
        <w:tc>
          <w:tcPr>
            <w:tcW w:w="212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215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2128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20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1 час 30 минут (90 минут)</w:t>
            </w:r>
          </w:p>
        </w:tc>
        <w:tc>
          <w:tcPr>
            <w:tcW w:w="2619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20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3 часа (180 минут)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Style_9"/>
        <w:tblW w:w="10417" w:type="dxa"/>
        <w:jc w:val="left"/>
        <w:tblInd w:w="1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2"/>
        <w:gridCol w:w="4663"/>
        <w:gridCol w:w="3872"/>
      </w:tblGrid>
      <w:tr>
        <w:trPr/>
        <w:tc>
          <w:tcPr>
            <w:tcW w:w="188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Учебный предмет</w:t>
            </w:r>
          </w:p>
        </w:tc>
        <w:tc>
          <w:tcPr>
            <w:tcW w:w="8535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Средства обучения и воспитания, разрешенные к использованию для выполнения заданий КИМ по соответствующим учебным предметам</w:t>
            </w:r>
          </w:p>
        </w:tc>
      </w:tr>
      <w:tr>
        <w:trPr/>
        <w:tc>
          <w:tcPr>
            <w:tcW w:w="188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4663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58" w:after="0"/>
              <w:ind w:hanging="0" w:left="1199" w:right="1143"/>
              <w:jc w:val="center"/>
              <w:rPr>
                <w:b/>
                <w:sz w:val="24"/>
              </w:rPr>
            </w:pPr>
            <w:r>
              <w:rPr>
                <w:b/>
                <w:spacing w:val="0"/>
                <w:kern w:val="0"/>
                <w:sz w:val="24"/>
                <w:szCs w:val="20"/>
              </w:rPr>
              <w:t>ГВЭ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(письменная форма)</w:t>
            </w:r>
          </w:p>
        </w:tc>
        <w:tc>
          <w:tcPr>
            <w:tcW w:w="3872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58" w:after="0"/>
              <w:ind w:hanging="0" w:left="1369" w:right="1316"/>
              <w:jc w:val="center"/>
              <w:rPr>
                <w:b/>
                <w:sz w:val="24"/>
              </w:rPr>
            </w:pPr>
            <w:r>
              <w:rPr>
                <w:b/>
                <w:spacing w:val="0"/>
                <w:kern w:val="0"/>
                <w:sz w:val="24"/>
                <w:szCs w:val="20"/>
              </w:rPr>
              <w:t>ГВЭ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(устная форма)</w:t>
            </w:r>
          </w:p>
        </w:tc>
      </w:tr>
      <w:tr>
        <w:trPr/>
        <w:tc>
          <w:tcPr>
            <w:tcW w:w="1882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22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Русский язык</w:t>
            </w:r>
          </w:p>
        </w:tc>
        <w:tc>
          <w:tcPr>
            <w:tcW w:w="4663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орфографический и толковый словари</w:t>
            </w:r>
            <w:r>
              <w:rPr>
                <w:rStyle w:val="FootnoteReference"/>
                <w:spacing w:val="0"/>
                <w:kern w:val="0"/>
                <w:sz w:val="28"/>
                <w:szCs w:val="20"/>
                <w:vertAlign w:val="superscript"/>
              </w:rPr>
              <w:footnoteReference w:id="39"/>
            </w:r>
          </w:p>
        </w:tc>
        <w:tc>
          <w:tcPr>
            <w:tcW w:w="3872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8" w:after="0"/>
              <w:ind w:hanging="0" w:left="-10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не используются</w:t>
            </w:r>
          </w:p>
        </w:tc>
      </w:tr>
      <w:tr>
        <w:trPr/>
        <w:tc>
          <w:tcPr>
            <w:tcW w:w="1882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20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Математика</w:t>
            </w:r>
          </w:p>
        </w:tc>
        <w:tc>
          <w:tcPr>
            <w:tcW w:w="8535" w:type="dxa"/>
            <w:gridSpan w:val="2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8" w:after="0"/>
              <w:ind w:hanging="0" w:left="0" w:right="33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линейка, не содержащая справочной информации;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справочные материалы, содержащие основные формулы курса математики образовательной программы основного общего и среднего общего образования, которые представлены вместе с КИМ</w:t>
            </w:r>
            <w:r>
              <w:rPr>
                <w:rStyle w:val="FootnoteReference"/>
                <w:spacing w:val="0"/>
                <w:kern w:val="0"/>
                <w:sz w:val="28"/>
                <w:szCs w:val="20"/>
                <w:vertAlign w:val="superscript"/>
              </w:rPr>
              <w:footnoteReference w:id="40"/>
            </w:r>
          </w:p>
        </w:tc>
      </w:tr>
    </w:tbl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Во время экзамена в каждой аудитории присутствует не менее двух организаторов в аудитории. В случае необходимости временно покинуть аудиторию следует произвести замену из числа организаторов вне аудитории.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Во время экзамена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numPr>
          <w:ilvl w:val="0"/>
          <w:numId w:val="17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b/>
          <w:sz w:val="28"/>
        </w:rPr>
        <w:t>В случае если участник ГВЭ опоздал на экзамен</w:t>
      </w:r>
      <w:r>
        <w:rPr>
          <w:rStyle w:val="FootnoteReference"/>
          <w:sz w:val="28"/>
          <w:vertAlign w:val="superscript"/>
        </w:rPr>
        <w:footnoteReference w:id="41"/>
      </w:r>
      <w:r>
        <w:rPr>
          <w:sz w:val="28"/>
        </w:rPr>
        <w:t xml:space="preserve"> – участник ГВЭ допускается к сдаче экзамена, при этом время окончания экзамена, зафиксированное на доске (информационном стенде), не продлевается, инструктаж не проводится (за исключением, когда в аудитории нет других участников ГВЭ).</w:t>
      </w:r>
    </w:p>
    <w:p>
      <w:pPr>
        <w:pStyle w:val="111"/>
        <w:ind w:firstLine="709" w:left="0" w:right="0"/>
        <w:jc w:val="both"/>
        <w:rPr>
          <w:color w:val="000000"/>
          <w:sz w:val="28"/>
        </w:rPr>
      </w:pPr>
      <w:r>
        <w:rPr>
          <w:sz w:val="28"/>
        </w:rPr>
        <w:t xml:space="preserve">Организатор в аудитории от руководителя ППЭ: </w:t>
      </w:r>
    </w:p>
    <w:p>
      <w:pPr>
        <w:pStyle w:val="111"/>
        <w:ind w:firstLine="709" w:left="0" w:right="0"/>
        <w:jc w:val="both"/>
        <w:rPr>
          <w:sz w:val="28"/>
        </w:rPr>
      </w:pPr>
      <w:r>
        <w:rPr>
          <w:sz w:val="28"/>
        </w:rPr>
        <w:t>получает инструкцию для участника экзамена, зачитываемую организатором в аудитории перед началом экзамена, в распечатанном виде опоздавшему участникам экзамена;</w:t>
      </w:r>
    </w:p>
    <w:p>
      <w:pPr>
        <w:pStyle w:val="111"/>
        <w:ind w:firstLine="709" w:left="0" w:right="0"/>
        <w:jc w:val="both"/>
        <w:rPr>
          <w:sz w:val="28"/>
        </w:rPr>
      </w:pPr>
      <w:r>
        <w:rPr>
          <w:sz w:val="28"/>
        </w:rPr>
        <w:t>получает журнал для ознакомления опоздавших участников экзамена, с тем что участники экзамена ознакомлены с порядком проведения экзамена и с установленной ответственностью за нарушение Порядка.</w:t>
      </w:r>
    </w:p>
    <w:p>
      <w:pPr>
        <w:pStyle w:val="111"/>
        <w:numPr>
          <w:ilvl w:val="0"/>
          <w:numId w:val="17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b/>
          <w:sz w:val="28"/>
        </w:rPr>
        <w:t>В случае если в течение двух часов от начала экзамена ни один из участников ГВЭ, распределенных в аудиторию ППЭ, не явился в ППЭ</w:t>
      </w:r>
      <w:r>
        <w:rPr>
          <w:sz w:val="28"/>
        </w:rPr>
        <w:t xml:space="preserve"> (отдельные аудитории ППЭ), – организатор сообщает об этом руководителю ППЭ или члену ГЭК, который по согласованию с председателем ГЭК принимает решение об остановке экзамена в ППЭ или отдельных аудиториях ППЭ.</w:t>
      </w:r>
    </w:p>
    <w:p>
      <w:pPr>
        <w:pStyle w:val="111"/>
        <w:numPr>
          <w:ilvl w:val="0"/>
          <w:numId w:val="17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b/>
          <w:sz w:val="28"/>
        </w:rPr>
        <w:t xml:space="preserve">При проведении ГВЭ в устной форме </w:t>
      </w:r>
      <w:r>
        <w:rPr>
          <w:sz w:val="28"/>
        </w:rPr>
        <w:t>на подготовку устного ответа отводится: математика – 1 час 30 минут (90 минут), русский язык – 1 час (60 минут).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После подготовки участника ГВЭ приглашают к средству цифровой аудиозаписи. Участник ГВЭ по указанию организатора громко и разборчиво дает устные ответы на задания. Во время ответа одного участника ГВЭ остальные участники ГВЭ присутствуют в аудитории.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Во время устных ответов участника ГВЭ экзаменатор-собеседник при необходимости задает вопросы, которые позволяют участнику ГВЭ уточнить и (или) дополнить устный ответ в соответствии с требованиями вопроса задания. Технический специалист или организатор предоставляет участнику ГВЭ возможность прослушать запись его устных ответов, чтобы убедиться, что она произведена без технических сбоев.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При выявлении</w:t>
      </w:r>
      <w:r>
        <w:rPr>
          <w:rStyle w:val="FootnoteReference"/>
          <w:sz w:val="28"/>
        </w:rPr>
        <w:footnoteReference w:id="42"/>
      </w:r>
      <w:r>
        <w:rPr>
          <w:sz w:val="28"/>
        </w:rPr>
        <w:t xml:space="preserve"> низкого качества аудиозаписи ответа участника ГВЭ, не позволяющей в дальнейшем в полном объеме оценить ответ, или технического сбоя во время записи участнику ГВЭ по его выбору предоставляется право сдать экзамен в тот же день или в резервные сроки (принимается решение о том, что участник ГВЭ не завершил экзамен по объективным причинам, с оформлением соответствующего акта – форма ППЭ-22 «Акт о досрочном завершении экзамена по объективным причинам»).</w:t>
      </w:r>
    </w:p>
    <w:p>
      <w:pPr>
        <w:pStyle w:val="111"/>
        <w:numPr>
          <w:ilvl w:val="0"/>
          <w:numId w:val="17"/>
        </w:numPr>
        <w:tabs>
          <w:tab w:val="clear" w:pos="709"/>
          <w:tab w:val="left" w:pos="993" w:leader="none"/>
        </w:tabs>
        <w:ind w:firstLine="709" w:left="0" w:right="0"/>
        <w:jc w:val="both"/>
        <w:rPr>
          <w:b/>
          <w:sz w:val="28"/>
        </w:rPr>
      </w:pPr>
      <w:r>
        <w:rPr>
          <w:b/>
          <w:sz w:val="28"/>
        </w:rPr>
        <w:t>Организатор в аудитории следит за порядком в аудитории и не допускает: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разговоров участников ГВЭ между собой;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обмена любыми материалами и предметами между участниками ГВЭ;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наличия средств связи, фото-, аудио- и видеоаппаратуры, электронно- вычислительной техники, справочных материалов, письменных заметок и иных средств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г) произвольного выхода участника ГВЭ из аудитории и перемещения по ППЭ без сопровождения организатора вне аудитории;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д) выноса из аудиторий и ППЭ черновиков, ЭМ на бумажном и (или) электронном носителях;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е) переписывания участниками ГВЭ заданий КИМ в черновики;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ж) фотографирования ЭМ, черновиков.</w:t>
      </w:r>
    </w:p>
    <w:p>
      <w:pPr>
        <w:pStyle w:val="111"/>
        <w:numPr>
          <w:ilvl w:val="0"/>
          <w:numId w:val="17"/>
        </w:numPr>
        <w:tabs>
          <w:tab w:val="clear" w:pos="709"/>
          <w:tab w:val="left" w:pos="993" w:leader="none"/>
        </w:tabs>
        <w:ind w:firstLine="709" w:left="0" w:right="0"/>
        <w:jc w:val="both"/>
        <w:rPr>
          <w:b/>
          <w:sz w:val="28"/>
        </w:rPr>
      </w:pPr>
      <w:r>
        <w:rPr>
          <w:b/>
          <w:sz w:val="28"/>
        </w:rPr>
        <w:t>Организатор в аудитории следит за состоянием здоровья участников ГВЭ.</w:t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В случае ухудшения состояния здоровья участника ГВЭ или по другим объективным причинам: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пригласить организатора вне аудитории, который сопроводит такого участника ГВЭ к медицинскому работнику</w:t>
      </w:r>
      <w:r>
        <w:rPr>
          <w:rStyle w:val="FootnoteReference"/>
          <w:sz w:val="28"/>
          <w:vertAlign w:val="superscript"/>
        </w:rPr>
        <w:footnoteReference w:id="43"/>
      </w:r>
      <w:r>
        <w:rPr>
          <w:sz w:val="28"/>
        </w:rPr>
        <w:t>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 случае составления членом ГЭК и медицинским работником акта87 о досрочном завершении экзамена по объективным причинам (форма ППЭ-22 «Акт о досрочном завершении экзамена по объективным причинам»): поставить в соответствующем поле бланка участника ГВЭ, досрочно завершившего экзамен по объективным причинам, необходимую отметку.</w:t>
      </w:r>
    </w:p>
    <w:p>
      <w:pPr>
        <w:pStyle w:val="111"/>
        <w:numPr>
          <w:ilvl w:val="0"/>
          <w:numId w:val="17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b/>
          <w:sz w:val="28"/>
        </w:rPr>
        <w:t>В случае если участник ГВЭ предъявил претензию по содержанию задания своего КИМ:</w:t>
      </w:r>
      <w:r>
        <w:rPr>
          <w:sz w:val="28"/>
        </w:rPr>
        <w:t xml:space="preserve"> зафиксировать суть претензии в служебной записке и передать ее руководителю ППЭ (служебная записка должна содержать информацию об уникальном номере КИМ, задании и содержании замечания).</w:t>
      </w:r>
    </w:p>
    <w:p>
      <w:pPr>
        <w:pStyle w:val="111"/>
        <w:numPr>
          <w:ilvl w:val="0"/>
          <w:numId w:val="17"/>
        </w:numPr>
        <w:tabs>
          <w:tab w:val="clear" w:pos="709"/>
          <w:tab w:val="left" w:pos="993" w:leader="none"/>
        </w:tabs>
        <w:ind w:firstLine="709" w:left="0" w:right="0"/>
        <w:jc w:val="both"/>
        <w:rPr>
          <w:b/>
          <w:sz w:val="28"/>
        </w:rPr>
      </w:pPr>
      <w:r>
        <w:rPr>
          <w:b/>
          <w:sz w:val="28"/>
        </w:rPr>
        <w:t xml:space="preserve">В случае нехватки места в бланке ответов: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убедиться, что бланки ответов полностью заполнены;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выдать участнику ГИА ДБО;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зафиксировать связь номеров основного бланка ответов и ДБО в специальных полях бланков</w:t>
      </w:r>
      <w:r>
        <w:rPr>
          <w:rStyle w:val="FootnoteReference"/>
          <w:sz w:val="28"/>
          <w:vertAlign w:val="superscript"/>
        </w:rPr>
        <w:footnoteReference w:id="44"/>
      </w:r>
      <w:r>
        <w:rPr>
          <w:sz w:val="28"/>
        </w:rPr>
        <w:t>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Копировать и выдавать копии ДБО </w:t>
      </w:r>
      <w:r>
        <w:rPr>
          <w:b/>
          <w:sz w:val="28"/>
        </w:rPr>
        <w:t>категорически запрещено!</w:t>
      </w:r>
      <w:r>
        <w:rPr>
          <w:sz w:val="28"/>
        </w:rPr>
        <w:t xml:space="preserve"> При нехватке ДБО необходимо обратиться в Штаб ППЭ.</w:t>
      </w:r>
    </w:p>
    <w:p>
      <w:pPr>
        <w:pStyle w:val="111"/>
        <w:numPr>
          <w:ilvl w:val="0"/>
          <w:numId w:val="17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b/>
          <w:sz w:val="28"/>
        </w:rPr>
        <w:t xml:space="preserve">По мере необходимости участникам ГВЭ выдаются дополнительные черновики. </w:t>
      </w:r>
      <w:r>
        <w:rPr>
          <w:sz w:val="28"/>
        </w:rPr>
        <w:t>Участники ГВЭ также могут делать пометки в КИМ.</w:t>
      </w:r>
    </w:p>
    <w:p>
      <w:pPr>
        <w:pStyle w:val="111"/>
        <w:numPr>
          <w:ilvl w:val="0"/>
          <w:numId w:val="17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b/>
          <w:sz w:val="28"/>
        </w:rPr>
        <w:t>При выходе участника ГВЭ из аудитории</w:t>
      </w:r>
      <w:r>
        <w:rPr>
          <w:sz w:val="28"/>
        </w:rPr>
        <w:t xml:space="preserve"> необходимо проверить комплектность оставленных им на рабочем столе ЭМ и черновиков. Каждый выход участника ГВЭ из аудитории фиксируется в форме ППЭ-12-04-МАШ «Ведомость учета времени отсутствия участников экзамена в аудитории». Если один и тот же участник ГВЭ выходит несколько раз, то каждый его выход фиксируется в указанной ведомости в новой строке.</w:t>
      </w:r>
    </w:p>
    <w:p>
      <w:pPr>
        <w:pStyle w:val="111"/>
        <w:numPr>
          <w:ilvl w:val="0"/>
          <w:numId w:val="17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b/>
          <w:sz w:val="28"/>
        </w:rPr>
      </w:pPr>
      <w:r>
        <w:rPr>
          <w:b/>
          <w:sz w:val="28"/>
        </w:rPr>
        <w:t>В случае нарушения требований Порядка: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сообщить через организатора вне аудитории о нарушении члену ГЭК и (или) руководителю ППЭ;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при установлении фактов нарушения Порядка совместно с членом ГЭК, руководителем ППЭ составить акт об удалении из ППЭ в двух экземплярах в Штабе ППЭ по форме ППЭ-21 «Акт об удалении участника экзамена из ППЭ» (с приложениями);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составить пояснительную записку с указанием конкретных обстоятельств нарушения требований Порядка, даты, времени нарушения требований Порядка по форме ППЭ-21-П3;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 случае удаления участника ГВЭ: поставить в соответствующем поле бланка участника ГВЭ, нарушившего Порядок, необходимую отметку.</w:t>
      </w:r>
    </w:p>
    <w:p>
      <w:pPr>
        <w:pStyle w:val="111"/>
        <w:numPr>
          <w:ilvl w:val="0"/>
          <w:numId w:val="17"/>
        </w:numPr>
        <w:tabs>
          <w:tab w:val="clear" w:pos="709"/>
          <w:tab w:val="left" w:pos="1134" w:leader="none"/>
        </w:tabs>
        <w:ind w:firstLine="709" w:left="0" w:right="0"/>
        <w:jc w:val="both"/>
        <w:rPr>
          <w:sz w:val="28"/>
        </w:rPr>
      </w:pPr>
      <w:r>
        <w:rPr>
          <w:b/>
          <w:sz w:val="28"/>
        </w:rPr>
        <w:t>В случае подачи участником ГВЭ апелляции о нарушении Порядка</w:t>
      </w:r>
      <w:r>
        <w:rPr>
          <w:rStyle w:val="FootnoteReference"/>
          <w:sz w:val="28"/>
          <w:vertAlign w:val="superscript"/>
        </w:rPr>
        <w:footnoteReference w:id="45"/>
      </w:r>
      <w:r>
        <w:rPr>
          <w:b/>
          <w:sz w:val="28"/>
        </w:rPr>
        <w:t>:</w:t>
      </w:r>
      <w:r>
        <w:rPr>
          <w:sz w:val="28"/>
        </w:rPr>
        <w:t xml:space="preserve"> сообщить члену ГЭК через организатора вне аудитории о желании участника ГИА подать апелляцию о нарушении Порядка.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spacing w:before="0" w:after="240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Завершение выполнения экзаменационной работы участниками ГВЭ и организация сбора ЭМ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Участники ГВЭ, досрочно завершившие выполнение экзаменационной работы, сдают ЭМ и черновики организаторам и покидают ППЭ, не дожидаясь завершения экзамена. Организатору в аудитории необходимо принять у них все ЭМ, черновики и получить их подпись в форме ППЭ-05-02-ГВЭ «Протокол проведения ГВЭ в аудитории»</w:t>
      </w:r>
      <w:r>
        <w:rPr>
          <w:rStyle w:val="FootnoteReference"/>
          <w:sz w:val="28"/>
          <w:vertAlign w:val="superscript"/>
        </w:rPr>
        <w:footnoteReference w:id="46"/>
      </w:r>
      <w:r>
        <w:rPr>
          <w:sz w:val="28"/>
        </w:rPr>
        <w:t xml:space="preserve">.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За 30 минут и за 5 минут до окончания экзамена организаторы сообщают участникам ГВЭ о скором завершении экзамена и напоминают о необходимости перенести ответы из черновиков и КИМ в бланки ответов, а также в ДБО (при необходимости).</w:t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По истечении времени экзамена организатору в аудитории следует: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 центре видимости камер видеонаблюдения объявить, что выполнение экзаменационной работы окончено;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попросить положить все ЭМ, черновики на край стола; собрать у участников ГВЭ ЭМ, черновики;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 случае если бланки ответов и ДБО содержат незаполненные области (за исключением регистрационных полей) – погасить их следующим образом: «Z»</w:t>
      </w:r>
      <w:r>
        <w:rPr>
          <w:sz w:val="28"/>
          <w:vertAlign w:val="superscript"/>
        </w:rPr>
        <w:t xml:space="preserve"> </w:t>
      </w:r>
      <w:r>
        <w:rPr>
          <w:rStyle w:val="FootnoteReference"/>
          <w:sz w:val="28"/>
          <w:vertAlign w:val="superscript"/>
        </w:rPr>
        <w:footnoteReference w:id="47"/>
      </w:r>
      <w:r>
        <w:rPr>
          <w:sz w:val="28"/>
        </w:rPr>
        <w:t>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заполнить форму ППЭ-05-02-ГВЭ «Протокол проведения ГВЭ в аудитории», получив подписи у участников ГВЭ</w:t>
      </w:r>
      <w:r>
        <w:rPr>
          <w:rStyle w:val="FootnoteReference"/>
          <w:sz w:val="28"/>
          <w:vertAlign w:val="superscript"/>
        </w:rPr>
        <w:footnoteReference w:id="48"/>
      </w:r>
      <w:r>
        <w:rPr>
          <w:sz w:val="28"/>
        </w:rPr>
        <w:t>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 случае использования масштабированных до формата А3 КИМ и бланков организаторы в аудитории собирают только КИМ. КИМ запечатываются в конверты. Бланки и черновики остаются на рабочих местах участников ГВЭ</w:t>
      </w:r>
      <w:r>
        <w:rPr>
          <w:rStyle w:val="FootnoteReference"/>
          <w:sz w:val="28"/>
          <w:vertAlign w:val="superscript"/>
        </w:rPr>
        <w:footnoteReference w:id="49"/>
      </w:r>
      <w:r>
        <w:rPr>
          <w:sz w:val="28"/>
        </w:rPr>
        <w:t>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Оформление соответствующих форм ППЭ, осуществление раскладки и последующей упаковки организаторами в аудитории ЭМ, собранных у участников ГВЭ, осуществляется в специально выделенном в аудитории месте (на столе), находящемся в зоне видимости камер видеонаблюдения.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Собранные у участников ГВЭ бланки организатор упаковывает в ВДП и запечатывает. Бланки складываются последовательно по каждому участнику ГВЭ отдельно: сначала бланк регистрации, затем бланк ответов, затем его ДБО.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На ВДП проставляется следующая информация: код региона, номер ППЭ (наименование и адрес), номер аудитории, код учебного предмета, название учебного предмета, по которому проводится ГВЭ, форма ГВЭ (письменная или устная).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 отдельный конверт организатор упаковывает КИМ, затем запечатывает указанный конверт.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На каждом конверте организаторы указывают наименование, адрес и номер ППЭ, номер аудитории, наименование и код учебного предмета, по которому проводился ГВЭ, форму ГВЭ (письменная или устная), количество материалов в пакете.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При этом </w:t>
      </w:r>
      <w:r>
        <w:rPr>
          <w:b/>
          <w:sz w:val="28"/>
        </w:rPr>
        <w:t>запрещается</w:t>
      </w:r>
      <w:r>
        <w:rPr>
          <w:sz w:val="28"/>
        </w:rPr>
        <w:t>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использовать какие-либо иные ВДП, конверты вместо выданных;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вкладывать вместе с бланками какие-либо другие материалы;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скреплять бланки (скрепками, степлером и т.п.);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менять ориентацию бланков в пакете.</w:t>
      </w:r>
    </w:p>
    <w:p>
      <w:pPr>
        <w:pStyle w:val="111"/>
        <w:ind w:firstLine="740" w:left="0" w:right="0"/>
        <w:jc w:val="both"/>
        <w:rPr>
          <w:i/>
          <w:i/>
          <w:sz w:val="28"/>
        </w:rPr>
      </w:pPr>
      <w:r>
        <w:rPr>
          <w:i/>
          <w:sz w:val="28"/>
        </w:rPr>
        <w:t>Файлы, содержащие ответы участников ГВЭ на задания КИМ (при проведении ГВЭ в устной форме (при наличии), записываются на электронные (внешние) носители техническими специалистами и передаются в Штаб ППЭ руководителю ППЭ.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Ответственный организатор в аудитории по форме ППЭ-14-02-ГВЭ «Ведомость учета экзаменационных материалов» передает руководителю ППЭ в Штабе ППЭ за специально подготовленным столом, находящимся в зоне видимости камер видеонаблюдения, в присутствии членов ГЭК: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запечатанные ВДП с бланками</w:t>
      </w:r>
      <w:r>
        <w:rPr>
          <w:rStyle w:val="FootnoteReference"/>
          <w:sz w:val="28"/>
          <w:vertAlign w:val="superscript"/>
        </w:rPr>
        <w:footnoteReference w:id="50"/>
      </w:r>
      <w:r>
        <w:rPr>
          <w:sz w:val="28"/>
        </w:rPr>
        <w:t xml:space="preserve">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запечатанные конверты с КИМ;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использованные черновики;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г) неиспользованные (или имеющие полиграфические дефекты) бланки;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д) неиспользованные ДБО;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е) неиспользованные черновики;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ж) формы ППЭ (ППЭ-05-02-ГВЭ «Протокол проведения ГВЭ в аудитории»; ППЭ-12-02 «Ведомость коррекции персональных данных участников экзамена в аудитории»; ППЭ-12-04-МАШ «Ведомость учета времени отсутствия участников экзамена в аудитории»);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з) служебные записки (при наличии).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Организаторы в аудитории покидают ППЭ после передачи всех материалов и с разрешения руководителя ППЭ.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Heading2"/>
        <w:numPr>
          <w:ilvl w:val="0"/>
          <w:numId w:val="5"/>
        </w:numPr>
        <w:spacing w:before="0" w:after="0"/>
        <w:ind w:hanging="0" w:left="0" w:right="0"/>
        <w:rPr/>
      </w:pPr>
      <w:bookmarkStart w:id="15" w:name="__RefHeading___12"/>
      <w:bookmarkStart w:id="16" w:name="_bookmark13"/>
      <w:bookmarkEnd w:id="15"/>
      <w:bookmarkEnd w:id="16"/>
      <w:r>
        <w:rPr/>
        <w:t>Инструкция для технического специалиста</w:t>
      </w:r>
    </w:p>
    <w:p>
      <w:pPr>
        <w:pStyle w:val="Heading2"/>
        <w:numPr>
          <w:ilvl w:val="0"/>
          <w:numId w:val="0"/>
        </w:numPr>
        <w:ind w:hanging="0" w:left="0" w:right="0"/>
        <w:jc w:val="left"/>
        <w:rPr/>
      </w:pPr>
      <w:r>
        <w:rPr/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Требования к техническим специалистам, предъявляемые Порядком: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а) прохождение соответствующей подготовки;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не являются близкими родственниками, а также супругами, усыновителями, усыновленными участников ГВЭ, сдающих экзамен в данном ППЭ;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не являются педагогическими работниками, являющимися учителями участников ГВЭ, сдающих экзамен в данном ППЭ</w:t>
      </w:r>
      <w:r>
        <w:rPr>
          <w:rStyle w:val="FootnoteReference"/>
          <w:sz w:val="28"/>
          <w:vertAlign w:val="superscript"/>
        </w:rPr>
        <w:footnoteReference w:id="51"/>
      </w:r>
      <w:r>
        <w:rPr>
          <w:sz w:val="28"/>
        </w:rPr>
        <w:t>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Технический специалист информируется под подпись о сроках, местах и порядке проведения ГИА,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работников ППЭ, нарушивших Порядок.</w:t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Технический специалист заблаговременно проходит инструктаж по порядку и процедуре проведения ГИА и знакомится: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 xml:space="preserve">а) с нормативными правовыми актами, регламентирующими проведение ГИА; 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б) с инструкцией, определяющей порядок работы технического специалиста;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в) с правилами оформления ведомостей, протоколов и актов, заполняемых при проведении ГВЭ в аудиториях, ППЭ, с руководствами пользователя программного обеспечения (при наличии).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Подготовка к проведению ГВЭ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Не позднее чем за один календарный день до проведения первого экзамена в ППЭ техническому специалисту следует провести организационно-технологические мероприятия по подготовке ППЭ:</w:t>
      </w:r>
    </w:p>
    <w:p>
      <w:pPr>
        <w:pStyle w:val="111"/>
        <w:numPr>
          <w:ilvl w:val="0"/>
          <w:numId w:val="18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проверить работоспособность технических средств, планируемых к использованию во время проведения экзамена;</w:t>
      </w:r>
    </w:p>
    <w:p>
      <w:pPr>
        <w:pStyle w:val="111"/>
        <w:numPr>
          <w:ilvl w:val="0"/>
          <w:numId w:val="18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проверить настройки металлоискателей (стационарных и (или) переносных), расположенных у входа в ППЭ, в том числе обеспечить проверку настроенных параметров металлоискателей;</w:t>
      </w:r>
    </w:p>
    <w:p>
      <w:pPr>
        <w:pStyle w:val="111"/>
        <w:numPr>
          <w:ilvl w:val="0"/>
          <w:numId w:val="18"/>
        </w:numPr>
        <w:tabs>
          <w:tab w:val="clear" w:pos="709"/>
          <w:tab w:val="left" w:pos="993" w:leader="none"/>
        </w:tabs>
        <w:ind w:firstLine="709" w:left="0" w:right="0"/>
        <w:jc w:val="both"/>
        <w:rPr>
          <w:sz w:val="28"/>
        </w:rPr>
      </w:pPr>
      <w:r>
        <w:rPr>
          <w:sz w:val="28"/>
        </w:rPr>
        <w:t>проверить соответствие технических характеристик компьютеров (ноутбуков) в аудиториях и Штабе ППЭ, а также резервных компьютеров (ноутбуков) предъявляемым минимальным требованиям.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spacing w:before="0" w:after="240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Проведение ГИА в ППЭ</w:t>
      </w:r>
    </w:p>
    <w:tbl>
      <w:tblPr>
        <w:tblStyle w:val="Style_9"/>
        <w:tblW w:w="10418" w:type="dxa"/>
        <w:jc w:val="left"/>
        <w:tblInd w:w="1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8"/>
      </w:tblGrid>
      <w:tr>
        <w:trPr/>
        <w:tc>
          <w:tcPr>
            <w:tcW w:w="10418" w:type="dxa"/>
            <w:tcBorders/>
          </w:tcPr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Техническому специалисту необходимо помнить, что экзамен проводится в спокойной и доброжелательной обстановке.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 xml:space="preserve">В день проведения экзамена техническому специалисту в ППЭ </w:t>
            </w:r>
            <w:r>
              <w:rPr>
                <w:b/>
                <w:spacing w:val="0"/>
                <w:kern w:val="0"/>
                <w:sz w:val="28"/>
                <w:szCs w:val="20"/>
              </w:rPr>
              <w:t>запрещается</w:t>
            </w:r>
            <w:r>
              <w:rPr>
                <w:spacing w:val="0"/>
                <w:kern w:val="0"/>
                <w:sz w:val="28"/>
                <w:szCs w:val="20"/>
              </w:rPr>
              <w:t>: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а) оказывать содействие участникам экзаменов,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б) выносить из аудиторий и ППЭ черновики, ЭМ на бумажном и (или) электронном носителях;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в) фотографировать ЭМ, черновики;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г) покидать ППЭ в день проведения экзамена</w:t>
            </w:r>
            <w:r>
              <w:rPr>
                <w:rStyle w:val="FootnoteReference"/>
                <w:spacing w:val="0"/>
                <w:kern w:val="0"/>
                <w:sz w:val="28"/>
                <w:szCs w:val="20"/>
                <w:vertAlign w:val="superscript"/>
              </w:rPr>
              <w:footnoteReference w:id="52"/>
            </w:r>
            <w:r>
              <w:rPr>
                <w:spacing w:val="0"/>
                <w:kern w:val="0"/>
                <w:sz w:val="28"/>
                <w:szCs w:val="20"/>
              </w:rPr>
              <w:t xml:space="preserve"> (до окончания процедур, предусмотренных Порядком);</w:t>
            </w:r>
          </w:p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spacing w:val="0"/>
                <w:kern w:val="0"/>
                <w:szCs w:val="20"/>
              </w:rPr>
            </w:pPr>
            <w:r>
              <w:rPr>
                <w:spacing w:val="0"/>
                <w:kern w:val="0"/>
                <w:sz w:val="28"/>
                <w:szCs w:val="20"/>
              </w:rPr>
              <w:t>д) пользоваться средствами связи, электронно-вычислительной техникой, фото-, аудио- и видеоаппаратурой, справочными материалами, письменными заметками и иными средствами хранения и передачи информации вне Штаба ППЭ</w:t>
            </w:r>
            <w:r>
              <w:rPr>
                <w:rStyle w:val="FootnoteReference"/>
                <w:spacing w:val="0"/>
                <w:kern w:val="0"/>
                <w:sz w:val="28"/>
                <w:szCs w:val="20"/>
                <w:vertAlign w:val="superscript"/>
              </w:rPr>
              <w:footnoteReference w:id="53"/>
            </w:r>
            <w:r>
              <w:rPr>
                <w:spacing w:val="0"/>
                <w:kern w:val="0"/>
                <w:sz w:val="28"/>
                <w:szCs w:val="20"/>
              </w:rPr>
              <w:t>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111"/>
        <w:ind w:firstLine="740" w:left="0" w:right="0"/>
        <w:jc w:val="both"/>
        <w:rPr>
          <w:b/>
          <w:sz w:val="28"/>
        </w:rPr>
      </w:pPr>
      <w:r>
        <w:rPr>
          <w:b/>
          <w:sz w:val="28"/>
        </w:rPr>
        <w:t>Техническому специалисту в ППЭ следует:</w:t>
      </w:r>
    </w:p>
    <w:p>
      <w:pPr>
        <w:pStyle w:val="111"/>
        <w:ind w:firstLine="740" w:left="0" w:right="0"/>
        <w:jc w:val="both"/>
        <w:rPr>
          <w:sz w:val="28"/>
          <w:highlight w:val="yellow"/>
        </w:rPr>
      </w:pPr>
      <w:r>
        <w:rPr>
          <w:sz w:val="28"/>
        </w:rPr>
        <w:t xml:space="preserve">прибыть в ППЭ </w:t>
      </w:r>
      <w:r>
        <w:rPr>
          <w:b/>
          <w:sz w:val="28"/>
        </w:rPr>
        <w:t>не позднее 09.00 по местному времени</w:t>
      </w:r>
      <w:r>
        <w:rPr>
          <w:sz w:val="28"/>
        </w:rPr>
        <w:t>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оставить все свои личные вещи в месте для хранения личных вещей, организованном в Штабе ППЭ;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проверить работоспособность технических средств, планируемых к использованию во время проведения экзамена;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убедиться в сохранении корректности настроек стационарных и (или) переносных металлоискателей;</w:t>
      </w:r>
    </w:p>
    <w:p>
      <w:pPr>
        <w:pStyle w:val="111"/>
        <w:ind w:firstLine="709" w:left="0" w:right="0"/>
        <w:jc w:val="both"/>
        <w:rPr>
          <w:sz w:val="28"/>
        </w:rPr>
      </w:pPr>
      <w:r>
        <w:rPr>
          <w:b/>
          <w:sz w:val="28"/>
        </w:rPr>
        <w:t>в случае печати ЭМ в Штабе ППЭ</w:t>
      </w:r>
      <w:r>
        <w:rPr>
          <w:sz w:val="28"/>
        </w:rPr>
        <w:t>: организовать печать ЭМ на бумажные носители в присутствии руководителя ППЭ, члена ГЭК, общественных наблюдателей (при наличии);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b/>
          <w:sz w:val="28"/>
        </w:rPr>
        <w:t>в случае проведения ГВЭ в устной форме:</w:t>
      </w:r>
      <w:r>
        <w:rPr>
          <w:sz w:val="28"/>
        </w:rPr>
        <w:t xml:space="preserve"> настроить или содействовать организаторам в настройке средств цифровой аудиозаписи для осуществления качественной записи устных ответов, предоставить участнику ГВЭ возможность прослушать запись его устных ответов, чтобы убедиться, что она произведена без технических сбоев;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b/>
          <w:sz w:val="28"/>
        </w:rPr>
        <w:t>в случае нарушения требований Порядка:</w:t>
      </w:r>
      <w:r>
        <w:rPr>
          <w:sz w:val="28"/>
        </w:rPr>
        <w:t xml:space="preserve"> незамедлительно сообщить о нарушении члену ГЭК и (или) руководителю ППЭ; составить пояснительную записку с указанием конкретных обстоятельств нарушения требований Порядка, даты, времени нарушения требований Порядка по форме ППЭ-21-П3;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b/>
          <w:sz w:val="28"/>
        </w:rPr>
        <w:t>в случае технических сбоев</w:t>
      </w:r>
      <w:r>
        <w:rPr>
          <w:rStyle w:val="FootnoteReference"/>
          <w:b/>
          <w:sz w:val="28"/>
          <w:vertAlign w:val="superscript"/>
        </w:rPr>
        <w:footnoteReference w:id="54"/>
      </w:r>
      <w:r>
        <w:rPr>
          <w:b/>
          <w:sz w:val="28"/>
        </w:rPr>
        <w:t>:</w:t>
      </w:r>
      <w:r>
        <w:rPr>
          <w:sz w:val="28"/>
        </w:rPr>
        <w:t xml:space="preserve"> при возникновении любых технических неполадок в ходе проведения ГВЭ следует выявить и устранить причину неполадок. В случае если технический специалист не может исправить технические неполадки, возникшие в ходе проведения ГВЭ, за короткий промежуток времени, сообщить об этом руководителю ППЭ или члену ГЭК.</w:t>
      </w:r>
    </w:p>
    <w:p>
      <w:pPr>
        <w:pStyle w:val="111"/>
        <w:ind w:firstLine="740" w:left="0" w:right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Завершение ГИА в ППЭ</w:t>
      </w:r>
    </w:p>
    <w:p>
      <w:pPr>
        <w:pStyle w:val="111"/>
        <w:ind w:firstLine="740" w:left="0" w:right="0"/>
        <w:jc w:val="both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Файлы, содержащие ответы участников ГВЭ на задания КИМ (при наличии) (при проведении ГВЭ в устной форме), поаудиторно записываются на электронные (внешние) носители техническими специалистами с присвоением в качестве имени уникального идентификатора (кода работы). Затем электронные (внешние) носители запечатываются в отдельный конверт. На конверте указывается наименование, адрес и номер ППЭ, номер аудитории, наименование и код учебного предмета, по которому проводился ГВЭ, форма ГВЭ (устная), количество аудиозаписей на электронном (внешнем) носителе.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Затем запечатанный конверт передается в Штаб ППЭ руководителю ППЭ за специально отведенным столом, находящимся в зоне видимости камер видеонаблюдения.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b/>
          <w:sz w:val="28"/>
        </w:rPr>
        <w:t>В случае сканирования экзаменационных работ участников ГИА</w:t>
      </w:r>
      <w:r>
        <w:rPr>
          <w:rStyle w:val="FootnoteReference"/>
          <w:b/>
          <w:sz w:val="28"/>
          <w:vertAlign w:val="superscript"/>
        </w:rPr>
        <w:footnoteReference w:id="55"/>
      </w:r>
      <w:r>
        <w:rPr>
          <w:b/>
          <w:sz w:val="28"/>
        </w:rPr>
        <w:t xml:space="preserve"> в Штабе ППЭ:</w:t>
      </w:r>
      <w:r>
        <w:rPr>
          <w:sz w:val="28"/>
        </w:rPr>
        <w:t xml:space="preserve"> сразу по завершении экзамена провести сканирование экзаменационных работ в присутствии члена ГЭК, руководителя ППЭ, общественных наблюдателей (при наличии).</w:t>
      </w:r>
    </w:p>
    <w:p>
      <w:pPr>
        <w:pStyle w:val="111"/>
        <w:ind w:firstLine="740" w:left="0" w:right="0"/>
        <w:jc w:val="both"/>
        <w:rPr>
          <w:sz w:val="28"/>
        </w:rPr>
      </w:pPr>
      <w:r>
        <w:rPr>
          <w:sz w:val="28"/>
        </w:rPr>
        <w:t>Покинуть ППЭ с разрешения руководителя ППЭ.</w:t>
      </w:r>
      <w:r>
        <w:br w:type="page"/>
      </w:r>
    </w:p>
    <w:p>
      <w:pPr>
        <w:pStyle w:val="Heading1"/>
        <w:widowControl w:val="false"/>
        <w:numPr>
          <w:ilvl w:val="0"/>
          <w:numId w:val="0"/>
        </w:numPr>
        <w:tabs>
          <w:tab w:val="clear" w:pos="142"/>
          <w:tab w:val="clear" w:pos="284"/>
          <w:tab w:val="left" w:pos="6464" w:leader="none"/>
        </w:tabs>
        <w:suppressAutoHyphens w:val="true"/>
        <w:bidi w:val="0"/>
        <w:spacing w:lineRule="auto" w:line="228" w:before="260" w:after="260"/>
        <w:ind w:hanging="0" w:left="8107" w:right="0"/>
        <w:jc w:val="center"/>
        <w:rPr/>
      </w:pPr>
      <w:bookmarkStart w:id="17" w:name="__RefHeading___13"/>
      <w:bookmarkEnd w:id="12"/>
      <w:bookmarkEnd w:id="13"/>
      <w:bookmarkEnd w:id="17"/>
      <w:r>
        <w:rPr>
          <w:b w:val="false"/>
          <w:bCs w:val="false"/>
        </w:rPr>
        <w:t>Приложение 1</w:t>
      </w:r>
    </w:p>
    <w:p>
      <w:pPr>
        <w:pStyle w:val="Heading1"/>
        <w:numPr>
          <w:ilvl w:val="0"/>
          <w:numId w:val="0"/>
        </w:numPr>
        <w:ind w:hanging="0" w:left="0" w:right="0"/>
        <w:rPr/>
      </w:pPr>
      <w:r>
        <w:rPr/>
        <w:t>Инструкция для участников ГВЭ, зачитываемая организатором в аудитории перед началом экзамена</w:t>
      </w:r>
    </w:p>
    <w:p>
      <w:pPr>
        <w:pStyle w:val="111"/>
        <w:ind w:firstLine="760" w:left="0" w:right="0"/>
        <w:jc w:val="both"/>
        <w:rPr>
          <w:i/>
          <w:i/>
          <w:sz w:val="28"/>
        </w:rPr>
      </w:pPr>
      <w:r>
        <w:rPr>
          <w:i/>
          <w:sz w:val="28"/>
        </w:rPr>
      </w:r>
    </w:p>
    <w:tbl>
      <w:tblPr>
        <w:tblStyle w:val="Style_9"/>
        <w:tblW w:w="10418" w:type="dxa"/>
        <w:jc w:val="left"/>
        <w:tblInd w:w="1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8"/>
      </w:tblGrid>
      <w:tr>
        <w:trPr/>
        <w:tc>
          <w:tcPr>
            <w:tcW w:w="10418" w:type="dxa"/>
            <w:tcBorders/>
          </w:tcPr>
          <w:p>
            <w:pPr>
              <w:pStyle w:val="111"/>
              <w:widowControl w:val="false"/>
              <w:suppressAutoHyphens w:val="true"/>
              <w:spacing w:lineRule="auto" w:line="240" w:before="0" w:after="0"/>
              <w:ind w:firstLine="740" w:left="0" w:right="0"/>
              <w:jc w:val="both"/>
              <w:rPr>
                <w:i/>
                <w:i/>
                <w:sz w:val="28"/>
              </w:rPr>
            </w:pPr>
            <w:r>
              <w:rPr>
                <w:spacing w:val="0"/>
                <w:kern w:val="0"/>
                <w:sz w:val="28"/>
                <w:szCs w:val="20"/>
              </w:rPr>
              <w:t>Текст, который выделен жирным шрифтом, должен быть прочитан участникам ГИА</w:t>
            </w:r>
            <w:r>
              <w:rPr>
                <w:rStyle w:val="FootnoteReference"/>
                <w:b/>
                <w:spacing w:val="0"/>
                <w:kern w:val="0"/>
                <w:sz w:val="28"/>
                <w:szCs w:val="20"/>
                <w:vertAlign w:val="superscript"/>
              </w:rPr>
              <w:footnoteReference w:id="56"/>
            </w:r>
            <w:r>
              <w:rPr>
                <w:spacing w:val="0"/>
                <w:kern w:val="0"/>
                <w:sz w:val="28"/>
                <w:szCs w:val="20"/>
              </w:rPr>
              <w:t xml:space="preserve"> </w:t>
            </w:r>
            <w:r>
              <w:rPr>
                <w:spacing w:val="0"/>
                <w:kern w:val="0"/>
                <w:sz w:val="28"/>
                <w:szCs w:val="20"/>
                <w:u w:val="single"/>
              </w:rPr>
              <w:t>слово в слово</w:t>
            </w:r>
            <w:r>
              <w:rPr>
                <w:spacing w:val="0"/>
                <w:kern w:val="0"/>
                <w:sz w:val="28"/>
                <w:szCs w:val="20"/>
              </w:rPr>
              <w:t xml:space="preserve">. Это делается для стандартизации процедуры проведения ГИА. </w:t>
            </w:r>
            <w:r>
              <w:rPr>
                <w:i/>
                <w:spacing w:val="0"/>
                <w:kern w:val="0"/>
                <w:sz w:val="28"/>
                <w:szCs w:val="20"/>
              </w:rPr>
              <w:t>Комментарии, выделенные курсивом, не читаются участникам ГИА. Они даны в помощь организатору.</w:t>
            </w:r>
            <w:r>
              <w:rPr>
                <w:spacing w:val="0"/>
                <w:kern w:val="0"/>
                <w:sz w:val="28"/>
                <w:szCs w:val="20"/>
              </w:rPr>
              <w:t xml:space="preserve"> Инструктаж и экзамен проводятся в спокойной и доброжелательной обстановке.</w:t>
            </w:r>
          </w:p>
        </w:tc>
      </w:tr>
    </w:tbl>
    <w:p>
      <w:pPr>
        <w:pStyle w:val="111"/>
        <w:ind w:firstLine="760" w:left="0" w:right="0"/>
        <w:jc w:val="both"/>
        <w:rPr>
          <w:i/>
          <w:i/>
          <w:sz w:val="28"/>
        </w:rPr>
      </w:pPr>
      <w:r>
        <w:rPr>
          <w:i/>
          <w:sz w:val="28"/>
        </w:rPr>
      </w:r>
    </w:p>
    <w:p>
      <w:pPr>
        <w:pStyle w:val="111"/>
        <w:ind w:firstLine="740" w:left="0" w:right="0"/>
        <w:jc w:val="both"/>
        <w:rPr>
          <w:i/>
          <w:i/>
          <w:sz w:val="28"/>
        </w:rPr>
      </w:pPr>
      <w:r>
        <w:rPr>
          <w:i/>
          <w:sz w:val="28"/>
        </w:rPr>
        <w:t>Подготовительные мероприятия:</w:t>
      </w:r>
    </w:p>
    <w:p>
      <w:pPr>
        <w:pStyle w:val="111"/>
        <w:ind w:firstLine="740" w:left="0" w:right="0"/>
        <w:jc w:val="both"/>
        <w:rPr>
          <w:i/>
          <w:i/>
          <w:sz w:val="28"/>
        </w:rPr>
      </w:pPr>
      <w:r>
        <w:rPr>
          <w:i/>
          <w:sz w:val="28"/>
        </w:rPr>
        <w:t>Оформить на доске (информационном стенде) в аудитории образец регистрационных полей бланка регистрации участника ГВЭ. Заполнить поля: «Код региона», «Код образовательной организации» (заполняется в соответствии с формой ППЭ-16), «Код ППЭ», «Номер аудитории», «Дата проведения ГВЭ», «Код предмета»,</w:t>
      </w:r>
    </w:p>
    <w:p>
      <w:pPr>
        <w:pStyle w:val="111"/>
        <w:ind w:firstLine="740" w:left="0" w:right="0"/>
        <w:jc w:val="both"/>
        <w:rPr>
          <w:i/>
          <w:i/>
          <w:sz w:val="28"/>
        </w:rPr>
      </w:pPr>
      <w:r>
        <w:rPr>
          <w:i/>
          <w:sz w:val="28"/>
        </w:rPr>
        <w:t>«Название предмета».</w:t>
      </w:r>
    </w:p>
    <w:p>
      <w:pPr>
        <w:pStyle w:val="111"/>
        <w:ind w:firstLine="740" w:left="0" w:right="0"/>
        <w:jc w:val="both"/>
        <w:rPr>
          <w:i/>
          <w:i/>
          <w:sz w:val="28"/>
        </w:rPr>
      </w:pPr>
      <w:r>
        <w:rPr>
          <w:i/>
          <w:sz w:val="28"/>
        </w:rPr>
        <w:t>Поле «Номер и буква класса» участники ГВЭ заполняют самостоятельно, поле «Номер варианта» заполняется участником ГВЭ (при этом корректность указанного участником номера варианта обязательно проверяется организатором в аудитории.</w:t>
      </w:r>
    </w:p>
    <w:p>
      <w:pPr>
        <w:pStyle w:val="111"/>
        <w:ind w:firstLine="740" w:left="0" w:right="0"/>
        <w:jc w:val="both"/>
        <w:rPr>
          <w:i/>
          <w:i/>
          <w:sz w:val="28"/>
        </w:rPr>
      </w:pPr>
      <w:r>
        <w:rPr>
          <w:i/>
          <w:sz w:val="28"/>
        </w:rPr>
        <w:t>Поле «Код работы» на бланке регистрации заполнено автоматически.</w:t>
      </w:r>
    </w:p>
    <w:p>
      <w:pPr>
        <w:pStyle w:val="111"/>
        <w:ind w:hanging="0" w:left="0" w:right="0"/>
        <w:jc w:val="both"/>
        <w:rPr>
          <w:i/>
          <w:i/>
          <w:sz w:val="28"/>
        </w:rPr>
      </w:pPr>
      <w:r>
        <w:rPr/>
        <w:drawing>
          <wp:inline distT="0" distB="0" distL="0" distR="0">
            <wp:extent cx="6648450" cy="1316355"/>
            <wp:effectExtent l="0" t="0" r="0" b="0"/>
            <wp:docPr id="1" name="Picture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131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1"/>
        <w:ind w:firstLine="760" w:left="0" w:right="0"/>
        <w:jc w:val="both"/>
        <w:rPr>
          <w:i/>
          <w:i/>
          <w:sz w:val="28"/>
        </w:rPr>
      </w:pPr>
      <w:r>
        <w:rPr>
          <w:i/>
          <w:sz w:val="28"/>
        </w:rPr>
      </w:r>
    </w:p>
    <w:p>
      <w:pPr>
        <w:pStyle w:val="111"/>
        <w:ind w:firstLine="740" w:left="0" w:right="0"/>
        <w:jc w:val="both"/>
        <w:rPr>
          <w:i/>
          <w:i/>
          <w:sz w:val="28"/>
        </w:rPr>
      </w:pPr>
      <w:r>
        <w:rPr>
          <w:i/>
          <w:sz w:val="28"/>
        </w:rPr>
        <w:t>Во время экзамена на рабочем столе участника ГВЭ, помимо ЭМ, могут находиться:</w:t>
      </w:r>
    </w:p>
    <w:p>
      <w:pPr>
        <w:pStyle w:val="111"/>
        <w:ind w:firstLine="740" w:left="0" w:right="0"/>
        <w:jc w:val="both"/>
        <w:rPr>
          <w:i/>
          <w:i/>
          <w:sz w:val="28"/>
        </w:rPr>
      </w:pPr>
      <w:r>
        <w:rPr>
          <w:i/>
          <w:sz w:val="28"/>
        </w:rPr>
        <w:t xml:space="preserve">гелевая или капиллярная ручка с чернилами черного цвета; </w:t>
      </w:r>
    </w:p>
    <w:p>
      <w:pPr>
        <w:pStyle w:val="111"/>
        <w:ind w:firstLine="740" w:left="0" w:right="0"/>
        <w:jc w:val="both"/>
        <w:rPr>
          <w:i/>
          <w:i/>
          <w:sz w:val="28"/>
        </w:rPr>
      </w:pPr>
      <w:r>
        <w:rPr>
          <w:i/>
          <w:sz w:val="28"/>
        </w:rPr>
        <w:t>документ, удостоверяющий личность;</w:t>
      </w:r>
    </w:p>
    <w:p>
      <w:pPr>
        <w:pStyle w:val="111"/>
        <w:ind w:firstLine="740" w:left="0" w:right="0"/>
        <w:jc w:val="both"/>
        <w:rPr>
          <w:i/>
          <w:i/>
          <w:sz w:val="28"/>
        </w:rPr>
      </w:pPr>
      <w:r>
        <w:rPr>
          <w:i/>
          <w:sz w:val="28"/>
        </w:rPr>
        <w:t>лекарства (при необходимости);</w:t>
      </w:r>
    </w:p>
    <w:p>
      <w:pPr>
        <w:pStyle w:val="111"/>
        <w:ind w:firstLine="740" w:left="0" w:right="0"/>
        <w:jc w:val="both"/>
        <w:rPr>
          <w:i/>
          <w:i/>
          <w:sz w:val="28"/>
        </w:rPr>
      </w:pPr>
      <w:r>
        <w:rPr>
          <w:i/>
          <w:sz w:val="28"/>
        </w:rPr>
        <w:t>продукты питания для дополнительного приема пищи (шоколад),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ГИА от выполнения ими экзаменационной работы (при необходимости);</w:t>
      </w:r>
    </w:p>
    <w:p>
      <w:pPr>
        <w:pStyle w:val="111"/>
        <w:ind w:firstLine="740" w:left="0" w:right="0"/>
        <w:jc w:val="both"/>
        <w:rPr>
          <w:i/>
          <w:i/>
          <w:sz w:val="28"/>
        </w:rPr>
      </w:pPr>
      <w:r>
        <w:rPr>
          <w:i/>
          <w:sz w:val="28"/>
        </w:rPr>
        <w:t>черновики, выданные в ППЭ;</w:t>
      </w:r>
    </w:p>
    <w:p>
      <w:pPr>
        <w:pStyle w:val="111"/>
        <w:ind w:firstLine="740" w:left="0" w:right="0"/>
        <w:jc w:val="both"/>
        <w:rPr>
          <w:i/>
          <w:i/>
        </w:rPr>
      </w:pPr>
      <w:r>
        <w:rPr>
          <w:i/>
          <w:sz w:val="28"/>
        </w:rPr>
        <w:t>средства обучения и воспитания, которые можно использовать на ГИА по</w:t>
      </w:r>
      <w:r>
        <w:rPr>
          <w:i/>
        </w:rPr>
        <w:t xml:space="preserve"> отдельным учебным предметам:</w:t>
      </w:r>
    </w:p>
    <w:p>
      <w:pPr>
        <w:pStyle w:val="111"/>
        <w:ind w:firstLine="760" w:left="0" w:right="0"/>
        <w:jc w:val="both"/>
        <w:rPr>
          <w:i/>
          <w:i/>
          <w:sz w:val="28"/>
        </w:rPr>
      </w:pPr>
      <w:r>
        <w:rPr>
          <w:i/>
          <w:sz w:val="28"/>
        </w:rPr>
      </w:r>
    </w:p>
    <w:tbl>
      <w:tblPr>
        <w:tblStyle w:val="Style_9"/>
        <w:tblW w:w="10473" w:type="dxa"/>
        <w:jc w:val="left"/>
        <w:tblInd w:w="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4472"/>
        <w:gridCol w:w="4147"/>
      </w:tblGrid>
      <w:tr>
        <w:trPr/>
        <w:tc>
          <w:tcPr>
            <w:tcW w:w="185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Учебный предмет</w:t>
            </w:r>
          </w:p>
        </w:tc>
        <w:tc>
          <w:tcPr>
            <w:tcW w:w="861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Средства обучения и воспитания, разрешенные к использованию для выполнения заданий КИМ по соответствующим учебным предметам</w:t>
            </w:r>
          </w:p>
        </w:tc>
      </w:tr>
      <w:tr>
        <w:trPr/>
        <w:tc>
          <w:tcPr>
            <w:tcW w:w="185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4472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58" w:after="0"/>
              <w:ind w:hanging="0" w:left="1199" w:right="1143"/>
              <w:jc w:val="center"/>
              <w:rPr>
                <w:b/>
                <w:sz w:val="24"/>
              </w:rPr>
            </w:pPr>
            <w:r>
              <w:rPr>
                <w:b/>
                <w:spacing w:val="0"/>
                <w:kern w:val="0"/>
                <w:sz w:val="24"/>
                <w:szCs w:val="20"/>
              </w:rPr>
              <w:t>ГВЭ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(письменная форма)</w:t>
            </w:r>
          </w:p>
        </w:tc>
        <w:tc>
          <w:tcPr>
            <w:tcW w:w="4147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58" w:after="0"/>
              <w:ind w:hanging="0" w:left="1369" w:right="1316"/>
              <w:jc w:val="center"/>
              <w:rPr>
                <w:b/>
                <w:sz w:val="24"/>
              </w:rPr>
            </w:pPr>
            <w:r>
              <w:rPr>
                <w:b/>
                <w:spacing w:val="0"/>
                <w:kern w:val="0"/>
                <w:sz w:val="24"/>
                <w:szCs w:val="20"/>
              </w:rPr>
              <w:t>ГВЭ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4"/>
                <w:szCs w:val="20"/>
              </w:rPr>
              <w:t>(устная форма)</w:t>
            </w:r>
          </w:p>
        </w:tc>
      </w:tr>
      <w:tr>
        <w:trPr/>
        <w:tc>
          <w:tcPr>
            <w:tcW w:w="1854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22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Русский язык</w:t>
            </w:r>
          </w:p>
        </w:tc>
        <w:tc>
          <w:tcPr>
            <w:tcW w:w="4472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орфографический и толковый словари</w:t>
            </w:r>
            <w:r>
              <w:rPr>
                <w:rStyle w:val="FootnoteReference"/>
                <w:spacing w:val="0"/>
                <w:kern w:val="0"/>
                <w:sz w:val="28"/>
                <w:szCs w:val="20"/>
                <w:vertAlign w:val="superscript"/>
              </w:rPr>
              <w:footnoteReference w:id="57"/>
            </w:r>
          </w:p>
        </w:tc>
        <w:tc>
          <w:tcPr>
            <w:tcW w:w="4147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8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не используются</w:t>
            </w:r>
          </w:p>
        </w:tc>
      </w:tr>
      <w:tr>
        <w:trPr/>
        <w:tc>
          <w:tcPr>
            <w:tcW w:w="1854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20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Математика</w:t>
            </w:r>
          </w:p>
        </w:tc>
        <w:tc>
          <w:tcPr>
            <w:tcW w:w="8619" w:type="dxa"/>
            <w:gridSpan w:val="2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8" w:after="0"/>
              <w:ind w:hanging="0" w:left="0" w:right="33"/>
              <w:jc w:val="center"/>
              <w:rPr>
                <w:sz w:val="24"/>
              </w:rPr>
            </w:pPr>
            <w:r>
              <w:rPr>
                <w:spacing w:val="0"/>
                <w:kern w:val="0"/>
                <w:sz w:val="24"/>
                <w:szCs w:val="20"/>
              </w:rPr>
              <w:t>линейка, не содержащая справочной информации;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kern w:val="0"/>
                <w:sz w:val="24"/>
                <w:szCs w:val="20"/>
              </w:rPr>
              <w:t>справочные материалы, содержащие основные формулы курса математики образовательной программы основного общего и среднего общего образования, которые представлены вместе с КИМ</w:t>
            </w:r>
            <w:r>
              <w:rPr>
                <w:rStyle w:val="FootnoteReference"/>
                <w:spacing w:val="0"/>
                <w:kern w:val="0"/>
                <w:sz w:val="28"/>
                <w:szCs w:val="20"/>
                <w:vertAlign w:val="superscript"/>
              </w:rPr>
              <w:footnoteReference w:id="58"/>
            </w:r>
          </w:p>
        </w:tc>
      </w:tr>
    </w:tbl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Названия и коды учебных предметов</w:t>
      </w:r>
    </w:p>
    <w:p>
      <w:pPr>
        <w:pStyle w:val="13"/>
        <w:ind w:hanging="0" w:left="787" w:right="0"/>
        <w:jc w:val="center"/>
        <w:rPr>
          <w:b w:val="false"/>
          <w:sz w:val="28"/>
        </w:rPr>
      </w:pPr>
      <w:r>
        <w:rPr>
          <w:b w:val="false"/>
          <w:sz w:val="28"/>
        </w:rPr>
      </w:r>
    </w:p>
    <w:tbl>
      <w:tblPr>
        <w:tblStyle w:val="Style_9"/>
        <w:tblW w:w="10418" w:type="dxa"/>
        <w:jc w:val="left"/>
        <w:tblInd w:w="1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2"/>
        <w:gridCol w:w="5345"/>
      </w:tblGrid>
      <w:tr>
        <w:trPr/>
        <w:tc>
          <w:tcPr>
            <w:tcW w:w="5072" w:type="dxa"/>
            <w:tcBorders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8"/>
              </w:rPr>
            </w:pPr>
            <w:r>
              <w:rPr>
                <w:b w:val="false"/>
                <w:spacing w:val="0"/>
                <w:kern w:val="0"/>
                <w:sz w:val="28"/>
                <w:szCs w:val="20"/>
              </w:rPr>
              <w:t>Название учебного предмета</w:t>
            </w:r>
          </w:p>
        </w:tc>
        <w:tc>
          <w:tcPr>
            <w:tcW w:w="5345" w:type="dxa"/>
            <w:tcBorders/>
            <w:vAlign w:val="bottom"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8"/>
              </w:rPr>
            </w:pPr>
            <w:r>
              <w:rPr>
                <w:b w:val="false"/>
                <w:spacing w:val="0"/>
                <w:kern w:val="0"/>
                <w:sz w:val="28"/>
                <w:szCs w:val="20"/>
              </w:rPr>
              <w:t>Код учебного предмета</w:t>
            </w:r>
          </w:p>
        </w:tc>
      </w:tr>
      <w:tr>
        <w:trPr/>
        <w:tc>
          <w:tcPr>
            <w:tcW w:w="5072" w:type="dxa"/>
            <w:tcBorders/>
            <w:vAlign w:val="bottom"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8"/>
              </w:rPr>
            </w:pPr>
            <w:r>
              <w:rPr>
                <w:b w:val="false"/>
                <w:spacing w:val="0"/>
                <w:kern w:val="0"/>
                <w:sz w:val="28"/>
                <w:szCs w:val="20"/>
              </w:rPr>
              <w:t>Русский язык</w:t>
            </w:r>
          </w:p>
        </w:tc>
        <w:tc>
          <w:tcPr>
            <w:tcW w:w="5345" w:type="dxa"/>
            <w:tcBorders/>
            <w:vAlign w:val="bottom"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8"/>
              </w:rPr>
            </w:pPr>
            <w:r>
              <w:rPr>
                <w:b w:val="false"/>
                <w:spacing w:val="0"/>
                <w:kern w:val="0"/>
                <w:sz w:val="28"/>
                <w:szCs w:val="20"/>
              </w:rPr>
              <w:t>51</w:t>
            </w:r>
          </w:p>
        </w:tc>
      </w:tr>
      <w:tr>
        <w:trPr/>
        <w:tc>
          <w:tcPr>
            <w:tcW w:w="5072" w:type="dxa"/>
            <w:tcBorders/>
            <w:vAlign w:val="bottom"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8"/>
              </w:rPr>
            </w:pPr>
            <w:r>
              <w:rPr>
                <w:b w:val="false"/>
                <w:spacing w:val="0"/>
                <w:kern w:val="0"/>
                <w:sz w:val="28"/>
                <w:szCs w:val="20"/>
              </w:rPr>
              <w:t>Математика</w:t>
            </w:r>
          </w:p>
        </w:tc>
        <w:tc>
          <w:tcPr>
            <w:tcW w:w="5345" w:type="dxa"/>
            <w:tcBorders/>
            <w:vAlign w:val="bottom"/>
          </w:tcPr>
          <w:p>
            <w:pPr>
              <w:pStyle w:val="13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 w:val="false"/>
                <w:sz w:val="28"/>
              </w:rPr>
            </w:pPr>
            <w:r>
              <w:rPr>
                <w:b w:val="false"/>
                <w:spacing w:val="0"/>
                <w:kern w:val="0"/>
                <w:sz w:val="28"/>
                <w:szCs w:val="20"/>
              </w:rPr>
              <w:t>52</w:t>
            </w:r>
          </w:p>
        </w:tc>
      </w:tr>
    </w:tbl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  <w:t>Продолжительность выполнения экзаменационной работы ГВЭ (письменная и устная формы)</w:t>
      </w:r>
    </w:p>
    <w:p>
      <w:pPr>
        <w:pStyle w:val="111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</w:r>
    </w:p>
    <w:tbl>
      <w:tblPr>
        <w:tblStyle w:val="Style_9"/>
        <w:tblW w:w="10473" w:type="dxa"/>
        <w:jc w:val="left"/>
        <w:tblInd w:w="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82"/>
        <w:gridCol w:w="2127"/>
        <w:gridCol w:w="2154"/>
        <w:gridCol w:w="2838"/>
      </w:tblGrid>
      <w:tr>
        <w:trPr/>
        <w:tc>
          <w:tcPr>
            <w:tcW w:w="14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2"/>
                <w:szCs w:val="20"/>
              </w:rPr>
              <w:t>Название учебного предмета</w:t>
            </w:r>
          </w:p>
        </w:tc>
        <w:tc>
          <w:tcPr>
            <w:tcW w:w="18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pacing w:val="-1"/>
                <w:kern w:val="0"/>
                <w:sz w:val="22"/>
                <w:szCs w:val="20"/>
              </w:rPr>
              <w:t xml:space="preserve">Продолжительность </w:t>
            </w:r>
            <w:r>
              <w:rPr>
                <w:rFonts w:ascii="Times New Roman" w:hAnsi="Times New Roman"/>
                <w:b/>
                <w:spacing w:val="0"/>
                <w:kern w:val="0"/>
                <w:sz w:val="22"/>
                <w:szCs w:val="20"/>
              </w:rPr>
              <w:t>выполнения экзаменационной работы (письменная</w:t>
            </w:r>
            <w:r>
              <w:rPr>
                <w:rFonts w:ascii="Times New Roman" w:hAnsi="Times New Roman"/>
                <w:b/>
                <w:spacing w:val="-4"/>
                <w:kern w:val="0"/>
                <w:sz w:val="22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0"/>
                <w:kern w:val="0"/>
                <w:sz w:val="22"/>
                <w:szCs w:val="20"/>
              </w:rPr>
              <w:t>форма)</w:t>
            </w:r>
          </w:p>
        </w:tc>
        <w:tc>
          <w:tcPr>
            <w:tcW w:w="212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sz w:val="22"/>
                <w:szCs w:val="20"/>
              </w:rPr>
              <w:t>Продолжительность выполнения экзаменационной работы (письменная форма) участниками ГВЭ - обучающимися с ОВЗ, детьми- инвалидами и инвалидами</w:t>
            </w:r>
          </w:p>
        </w:tc>
        <w:tc>
          <w:tcPr>
            <w:tcW w:w="2154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TableParagraph1"/>
              <w:widowControl w:val="false"/>
              <w:suppressAutoHyphens w:val="true"/>
              <w:spacing w:lineRule="auto" w:line="240" w:before="212" w:after="0"/>
              <w:ind w:hanging="0" w:left="0" w:right="0"/>
              <w:jc w:val="center"/>
              <w:rPr>
                <w:b/>
              </w:rPr>
            </w:pPr>
            <w:r>
              <w:rPr>
                <w:b/>
                <w:spacing w:val="0"/>
                <w:kern w:val="0"/>
                <w:szCs w:val="20"/>
              </w:rPr>
              <w:t>Продолжительность подготовки ответов на вопросы экзаменационных</w:t>
            </w:r>
            <w:r>
              <w:rPr>
                <w:b/>
                <w:spacing w:val="-3"/>
                <w:kern w:val="0"/>
                <w:szCs w:val="20"/>
              </w:rPr>
              <w:t xml:space="preserve"> </w:t>
            </w:r>
            <w:r>
              <w:rPr>
                <w:b/>
                <w:spacing w:val="0"/>
                <w:kern w:val="0"/>
                <w:szCs w:val="20"/>
              </w:rPr>
              <w:t>заданий в устной</w:t>
            </w:r>
            <w:r>
              <w:rPr>
                <w:b/>
                <w:spacing w:val="-3"/>
                <w:kern w:val="0"/>
                <w:szCs w:val="20"/>
              </w:rPr>
              <w:t xml:space="preserve"> </w:t>
            </w:r>
            <w:r>
              <w:rPr>
                <w:b/>
                <w:spacing w:val="0"/>
                <w:kern w:val="0"/>
                <w:szCs w:val="20"/>
              </w:rPr>
              <w:t>форме</w:t>
            </w:r>
          </w:p>
        </w:tc>
        <w:tc>
          <w:tcPr>
            <w:tcW w:w="2838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b/>
              </w:rPr>
            </w:pPr>
            <w:r>
              <w:rPr>
                <w:b/>
                <w:spacing w:val="0"/>
                <w:kern w:val="0"/>
                <w:szCs w:val="20"/>
              </w:rPr>
              <w:t>Продолжительность подготовки ответов на вопросы экзаменационных заданий в устной форме участниками ГВЭ - обучающимися с ОВЗ, детьми- инвалидами и инвалидами</w:t>
            </w:r>
          </w:p>
        </w:tc>
      </w:tr>
      <w:tr>
        <w:trPr/>
        <w:tc>
          <w:tcPr>
            <w:tcW w:w="1472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22" w:after="0"/>
              <w:ind w:hanging="0" w:left="0" w:right="0"/>
              <w:jc w:val="center"/>
              <w:rPr>
                <w:spacing w:val="0"/>
                <w:kern w:val="0"/>
                <w:szCs w:val="20"/>
              </w:rPr>
            </w:pPr>
            <w:r>
              <w:rPr>
                <w:spacing w:val="0"/>
                <w:kern w:val="0"/>
                <w:szCs w:val="20"/>
              </w:rPr>
              <w:t>Русский язык</w:t>
            </w:r>
          </w:p>
        </w:tc>
        <w:tc>
          <w:tcPr>
            <w:tcW w:w="1882" w:type="dxa"/>
            <w:vMerge w:val="restart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exact" w:line="252" w:before="49" w:after="0"/>
              <w:ind w:hanging="0" w:left="0" w:right="0"/>
              <w:jc w:val="center"/>
              <w:rPr>
                <w:spacing w:val="0"/>
                <w:kern w:val="0"/>
                <w:szCs w:val="20"/>
              </w:rPr>
            </w:pPr>
            <w:r>
              <w:rPr>
                <w:spacing w:val="0"/>
                <w:kern w:val="0"/>
                <w:szCs w:val="20"/>
              </w:rPr>
              <w:t>3 часа 55 минут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pacing w:val="0"/>
                <w:kern w:val="0"/>
                <w:sz w:val="22"/>
                <w:szCs w:val="20"/>
              </w:rPr>
              <w:t>(235 минут)</w:t>
            </w:r>
          </w:p>
        </w:tc>
        <w:tc>
          <w:tcPr>
            <w:tcW w:w="212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pacing w:val="0"/>
                <w:kern w:val="0"/>
                <w:sz w:val="22"/>
                <w:szCs w:val="20"/>
              </w:rPr>
              <w:t>5 часов 25 минут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pacing w:val="0"/>
                <w:kern w:val="0"/>
                <w:sz w:val="22"/>
                <w:szCs w:val="20"/>
              </w:rPr>
              <w:t>(325 минут)</w:t>
            </w:r>
          </w:p>
        </w:tc>
        <w:tc>
          <w:tcPr>
            <w:tcW w:w="2154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22" w:after="0"/>
              <w:ind w:hanging="0" w:left="0" w:right="0"/>
              <w:jc w:val="center"/>
              <w:rPr>
                <w:spacing w:val="0"/>
                <w:kern w:val="0"/>
                <w:szCs w:val="20"/>
              </w:rPr>
            </w:pPr>
            <w:r>
              <w:rPr>
                <w:spacing w:val="0"/>
                <w:kern w:val="0"/>
                <w:szCs w:val="20"/>
              </w:rPr>
              <w:t>1 час (60 минут)</w:t>
            </w:r>
          </w:p>
        </w:tc>
        <w:tc>
          <w:tcPr>
            <w:tcW w:w="2838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22" w:after="0"/>
              <w:ind w:hanging="0" w:left="0" w:right="0"/>
              <w:jc w:val="center"/>
              <w:rPr>
                <w:spacing w:val="0"/>
                <w:kern w:val="0"/>
                <w:szCs w:val="20"/>
              </w:rPr>
            </w:pPr>
            <w:r>
              <w:rPr>
                <w:spacing w:val="0"/>
                <w:kern w:val="0"/>
                <w:szCs w:val="20"/>
              </w:rPr>
              <w:t>2 часа 30 минут</w:t>
            </w:r>
          </w:p>
          <w:p>
            <w:pPr>
              <w:pStyle w:val="TableParagraph1"/>
              <w:widowControl w:val="false"/>
              <w:suppressAutoHyphens w:val="true"/>
              <w:spacing w:lineRule="auto" w:line="240" w:before="22" w:after="0"/>
              <w:ind w:hanging="0" w:left="0" w:right="0"/>
              <w:jc w:val="center"/>
              <w:rPr>
                <w:spacing w:val="0"/>
                <w:kern w:val="0"/>
                <w:szCs w:val="20"/>
              </w:rPr>
            </w:pPr>
            <w:r>
              <w:rPr>
                <w:spacing w:val="0"/>
                <w:kern w:val="0"/>
                <w:szCs w:val="20"/>
              </w:rPr>
              <w:t>(150 минут)</w:t>
            </w:r>
          </w:p>
        </w:tc>
      </w:tr>
      <w:tr>
        <w:trPr/>
        <w:tc>
          <w:tcPr>
            <w:tcW w:w="1472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20" w:after="0"/>
              <w:ind w:hanging="0" w:left="0" w:right="0"/>
              <w:jc w:val="center"/>
              <w:rPr>
                <w:spacing w:val="0"/>
                <w:kern w:val="0"/>
                <w:szCs w:val="20"/>
              </w:rPr>
            </w:pPr>
            <w:r>
              <w:rPr>
                <w:spacing w:val="0"/>
                <w:kern w:val="0"/>
                <w:szCs w:val="20"/>
              </w:rPr>
              <w:t>Математика</w:t>
            </w:r>
          </w:p>
        </w:tc>
        <w:tc>
          <w:tcPr>
            <w:tcW w:w="188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212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2154" w:type="dxa"/>
            <w:tcBorders/>
            <w:vAlign w:val="center"/>
          </w:tcPr>
          <w:p>
            <w:pPr>
              <w:pStyle w:val="TableParagraph1"/>
              <w:widowControl w:val="false"/>
              <w:suppressAutoHyphens w:val="true"/>
              <w:spacing w:lineRule="auto" w:line="240" w:before="20" w:after="0"/>
              <w:ind w:hanging="0" w:left="0" w:right="0"/>
              <w:jc w:val="center"/>
              <w:rPr>
                <w:spacing w:val="0"/>
                <w:kern w:val="0"/>
                <w:szCs w:val="20"/>
              </w:rPr>
            </w:pPr>
            <w:r>
              <w:rPr>
                <w:spacing w:val="0"/>
                <w:kern w:val="0"/>
                <w:szCs w:val="20"/>
              </w:rPr>
              <w:t>1 час 30 минут (90 минут)</w:t>
            </w:r>
          </w:p>
        </w:tc>
        <w:tc>
          <w:tcPr>
            <w:tcW w:w="2838" w:type="dxa"/>
            <w:tcBorders/>
          </w:tcPr>
          <w:p>
            <w:pPr>
              <w:pStyle w:val="TableParagraph1"/>
              <w:widowControl w:val="false"/>
              <w:suppressAutoHyphens w:val="true"/>
              <w:spacing w:lineRule="auto" w:line="240" w:before="20" w:after="0"/>
              <w:ind w:hanging="0" w:left="0" w:right="0"/>
              <w:jc w:val="center"/>
              <w:rPr>
                <w:spacing w:val="0"/>
                <w:kern w:val="0"/>
                <w:szCs w:val="20"/>
              </w:rPr>
            </w:pPr>
            <w:r>
              <w:rPr>
                <w:spacing w:val="0"/>
                <w:kern w:val="0"/>
                <w:szCs w:val="20"/>
              </w:rPr>
              <w:t>3 часа (180 минут)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13"/>
        <w:jc w:val="center"/>
        <w:rPr>
          <w:sz w:val="28"/>
        </w:rPr>
      </w:pPr>
      <w:r>
        <w:rPr>
          <w:sz w:val="28"/>
        </w:rPr>
      </w:r>
    </w:p>
    <w:p>
      <w:pPr>
        <w:pStyle w:val="13"/>
        <w:spacing w:before="0" w:after="0"/>
        <w:jc w:val="center"/>
        <w:rPr>
          <w:sz w:val="28"/>
        </w:rPr>
      </w:pPr>
      <w:r>
        <w:rPr>
          <w:sz w:val="28"/>
        </w:rPr>
        <w:t>Инструкция для участников ГВЭ</w:t>
      </w:r>
    </w:p>
    <w:p>
      <w:pPr>
        <w:pStyle w:val="111"/>
        <w:ind w:firstLine="80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Первая часть инструктажа (начало проведения с 9:50 по местному времени):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 xml:space="preserve">Уважаемые участники экзамена! Сегодня Вы сдаете экзамен по </w:t>
        <w:tab/>
        <w:t xml:space="preserve">_________ </w:t>
      </w:r>
      <w:r>
        <w:rPr>
          <w:i/>
          <w:sz w:val="28"/>
        </w:rPr>
        <w:t xml:space="preserve">(назовите соответствующий учебный предмет) </w:t>
      </w:r>
      <w:r>
        <w:rPr>
          <w:b/>
          <w:sz w:val="28"/>
        </w:rPr>
        <w:t>в форме государственного выпускного экзамена (ГВЭ).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ГВЭ – лишь одно из жизненных испытаний, которое вам предстоит пройти. Будьте уверены: каждому, кто учился в школе, по силам сдать ГВЭ. Все задания составлены на основе школьной программы. Поэтому каждый из вас может успешно сдать экзамен.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Вместе с тем напоминаем, что в целях предупреждения нарушений порядка проведения ГИА в аудиториях ППЭ ведется видеонаблюдение.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Во время проведения экзамена вам необходимо соблюдать порядок проведения ГИА.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В день проведения экзамена (в период с момента входа в ППЭ и до окончания экзамена) запрещается: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выполнять экзаменационную работу несамостоятельно, в том числе с помощью посторонних лиц;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иметь при себе уведомление о регистрации на экзамен (при наличии – необходимо сдать его нам);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выносить из аудиторий и (или) ППЭ черновики, экзаменационные материалы на бумажном и (или) электронном носителях;</w:t>
      </w:r>
    </w:p>
    <w:p>
      <w:pPr>
        <w:pStyle w:val="111"/>
        <w:ind w:firstLine="851" w:left="-142" w:right="0"/>
        <w:jc w:val="both"/>
        <w:rPr>
          <w:b/>
          <w:sz w:val="28"/>
        </w:rPr>
      </w:pPr>
      <w:r>
        <w:rPr>
          <w:b/>
          <w:sz w:val="28"/>
        </w:rPr>
        <w:t>фотографировать экзаменационные материалы и (или) черновики;</w:t>
      </w:r>
    </w:p>
    <w:p>
      <w:pPr>
        <w:pStyle w:val="111"/>
        <w:ind w:firstLine="851" w:left="-142" w:right="0"/>
        <w:jc w:val="both"/>
        <w:rPr>
          <w:b/>
          <w:sz w:val="28"/>
        </w:rPr>
      </w:pPr>
      <w:r>
        <w:rPr>
          <w:b/>
          <w:sz w:val="28"/>
        </w:rPr>
        <w:t>перемещаться по ППЭ во время экзамена без сопровождения организатора;</w:t>
      </w:r>
    </w:p>
    <w:p>
      <w:pPr>
        <w:pStyle w:val="111"/>
        <w:ind w:firstLine="851" w:left="-142" w:right="0"/>
        <w:jc w:val="both"/>
        <w:rPr>
          <w:b/>
          <w:sz w:val="28"/>
        </w:rPr>
      </w:pPr>
      <w:r>
        <w:rPr>
          <w:b/>
          <w:sz w:val="28"/>
        </w:rPr>
        <w:t>выносить из аудиторий письменные принадлежности;</w:t>
      </w:r>
    </w:p>
    <w:p>
      <w:pPr>
        <w:pStyle w:val="111"/>
        <w:ind w:firstLine="709" w:left="0" w:right="0"/>
        <w:jc w:val="both"/>
        <w:rPr>
          <w:b/>
          <w:sz w:val="28"/>
        </w:rPr>
      </w:pPr>
      <w:r>
        <w:rPr>
          <w:b/>
          <w:sz w:val="28"/>
        </w:rPr>
        <w:t>в аудитории во время проведения экзамена запрещается общаться с другими участниками экзамена, пересаживаться, обмениваться любыми материалами и предметами.</w:t>
      </w:r>
    </w:p>
    <w:p>
      <w:pPr>
        <w:pStyle w:val="111"/>
        <w:ind w:firstLine="851" w:left="-142" w:right="0"/>
        <w:jc w:val="both"/>
        <w:rPr>
          <w:b/>
          <w:sz w:val="28"/>
        </w:rPr>
      </w:pPr>
      <w:r>
        <w:rPr>
          <w:b/>
          <w:sz w:val="28"/>
        </w:rPr>
        <w:t>Во время проведения экзамена вам необходимо соблюдать порядок проведения экзаменов.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В случае нарушения порядка проведения ГИА Вы будете удалены с экзамена.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Напоминаем, что частью 4 статьи 19.30 Кодекса Российской Федерации об административных правонарушениях предусмотрена административная ответственность. Умышленное искажение результатов государственной итоговой аттестации, а равно нарушение установленного законодательством об образовании порядка проведения государственной итоговой аттестации, влечет наложение административного штрафа на граждан в размере от трех тысяч до пяти тысяч рублей.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В случае нарушения порядка проведения ГИА работниками ППЭ или другими участниками экзамена Вы имеете право подать апелляцию о нарушении порядка проведения ГИА. Обращаем внимание, что апелляция о нарушении порядка проведения ГИА подается в день проведения экзамена члену ГЭК до выхода из ППЭ.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Ознакомиться с результатами ГВЭ Вы сможете в своей школе.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 xml:space="preserve">Плановая дата ознакомления с результатами: ____________ </w:t>
      </w:r>
      <w:r>
        <w:rPr>
          <w:i/>
          <w:sz w:val="28"/>
        </w:rPr>
        <w:t>(назвать дату)</w:t>
      </w:r>
      <w:r>
        <w:rPr>
          <w:b/>
          <w:sz w:val="28"/>
        </w:rPr>
        <w:t>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После получения результатов ГВЭ Вы можете подать апелляцию о несогласии с выставленными баллами. Апелляция подается в течение двух рабочих дней после официального дня объявления результатов ГВЭ.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Апелляцию Вы можете подать в своей школе.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Апелляция по вопросам содержания и структуры заданий по учебным предметам, а также по вопросам, связанным с нарушением участником ГВЭ требований порядка и неправильным оформлением экзаменационной работы, не рассматривается.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Обращаем ваше внимание, что во время экзамена на вашем рабочем столе, помимо экзаменационных материалов, могут находиться только: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 xml:space="preserve">гелевая, капиллярная ручка с чернилами черного цвета; 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документ, удостоверяющий личность;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лекарства (при необходимости);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продукты питания для дополнительного приема пищи (шоколад),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ГИА от выполнения ими экзаменационной работы (при необходимости);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черновики, выданные в ППЭ;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средства обучения и воспитания, которые можно использовать на ГИА по отдельным учебным предметам.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Вторая часть инструктажа (начало проведения – не ранее 10:00 по местному времени).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Организатор раздает участникам в произвольном порядке КИМ и комплекты бланков (бланк регистрации и бланк ответов, связанные между собой единым кодом работы).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Проверьте целостность комплекта бланков. Комплект бланков включает в себя: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 xml:space="preserve">бланк регистрации, 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бланк ответов.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Проверьте совпадение кода работы на бланке регистрации и бланке ответов. В случае если вы обнаружили несовпадения, обратитесь к нам.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Сделайте паузу для проверки участниками комплекта бланков.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Необходимо попросить участников ГВЭ проверить выданные им КИМ на наличие типографских дефектов, наличие/отсутствие страниц. При обнаружении несовпадений кода работы, наличия лишних (нехватки) бланков, типографских дефектов следует заменить полностью и комплект бланков и КИМ на новые.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Приступаем к заполнению бланка регистрации.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Записывайте буквы и цифры в соответствии с образцом на бланке регистрации.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Каждая цифра, символ записывается в отдельную клетку, начиная с первой клетки.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Заполните регистрационные поля в соответствии с информацией на доске (информационном стенде) гелевой, капиллярной ручкой с чернилами черного цвета. При отсутствии такой ручки обратитесь к нам, так как бланки, заполненные иной ручкой, не обрабатываются и не проверяются.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Обратите внимание участников на доску.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 xml:space="preserve">Заполните в соответствии с информацией на доске (информационном стенде) следующие поля: «Код региона» </w:t>
      </w:r>
      <w:r>
        <w:rPr>
          <w:i/>
          <w:sz w:val="28"/>
        </w:rPr>
        <w:t>(пауза)</w:t>
      </w:r>
      <w:r>
        <w:rPr>
          <w:b/>
          <w:sz w:val="28"/>
        </w:rPr>
        <w:t xml:space="preserve">, «Код образовательной организации» </w:t>
      </w:r>
      <w:r>
        <w:rPr>
          <w:i/>
          <w:sz w:val="28"/>
        </w:rPr>
        <w:t>(пауза)</w:t>
      </w:r>
      <w:r>
        <w:rPr>
          <w:b/>
          <w:sz w:val="28"/>
        </w:rPr>
        <w:t xml:space="preserve">, «Код ППЭ», «Номер аудитории» </w:t>
      </w:r>
      <w:r>
        <w:rPr>
          <w:i/>
          <w:sz w:val="28"/>
        </w:rPr>
        <w:t>(пауза)</w:t>
      </w:r>
      <w:r>
        <w:rPr>
          <w:b/>
          <w:sz w:val="28"/>
        </w:rPr>
        <w:t xml:space="preserve">, «Дата проведения ГВЭ» </w:t>
      </w:r>
      <w:r>
        <w:rPr>
          <w:i/>
          <w:sz w:val="28"/>
        </w:rPr>
        <w:t>(пауза)</w:t>
      </w:r>
      <w:r>
        <w:rPr>
          <w:b/>
          <w:sz w:val="28"/>
        </w:rPr>
        <w:t xml:space="preserve">, «Код предмета» </w:t>
      </w:r>
      <w:r>
        <w:rPr>
          <w:i/>
          <w:sz w:val="28"/>
        </w:rPr>
        <w:t>(пауза)</w:t>
      </w:r>
      <w:r>
        <w:rPr>
          <w:b/>
          <w:sz w:val="28"/>
        </w:rPr>
        <w:t xml:space="preserve">, «Название предмета» </w:t>
      </w:r>
      <w:r>
        <w:rPr>
          <w:i/>
          <w:sz w:val="28"/>
        </w:rPr>
        <w:t>(пауза)</w:t>
      </w:r>
      <w:r>
        <w:rPr>
          <w:b/>
          <w:sz w:val="28"/>
        </w:rPr>
        <w:t xml:space="preserve">. Поля «Номер и буква класса» и «Номер варианта» заполните самостоятельно </w:t>
      </w:r>
      <w:r>
        <w:rPr>
          <w:i/>
          <w:sz w:val="28"/>
        </w:rPr>
        <w:t>(пауза)</w:t>
      </w:r>
      <w:r>
        <w:rPr>
          <w:b/>
          <w:sz w:val="28"/>
        </w:rPr>
        <w:t>. Поле «Код работы» заполнено автоматически. Поля «Резерв-1», «Резерв-2», «Резерв-3» не заполняются.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Заполните самостоятельно сведения о себе: фамилия, имя, отчество, данные документа, удостоверяющего личность.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Сделать паузу для заполнения участниками бланков регистрации.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Поставьте вашу подпись строго внутри окошка «подпись участника ГВЭ», расположенного в нижней части бланка регистрации.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В случае если участник ГВЭ отказывается ставить личную подпись в поле «Подпись участника ГВЭ», организатор в аудитории ставит свою подпись в поле участника ГВЭ.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В случае если участник ГВЭ с ОВЗ, участник ГВЭ-ребенок – инвалид и инвалид не в состоянии по состоянию здоровья поставить свою подпись, подпись ставится ассистентом указанного участника ГВЭ либо ответственным организатором в аудитории.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Приступаем к заполнению регистрационных полей бланка ответов.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Регистрационные поля в бланке ответов заполняются в соответствии с информацией на доске.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 xml:space="preserve">Служебное поле «Резерв-4» не заполняйте. </w:t>
      </w:r>
      <w:r>
        <w:rPr>
          <w:i/>
          <w:sz w:val="28"/>
        </w:rPr>
        <w:t>Сделать паузу для заполнения участниками бланков.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Организаторы проверяют правильность заполнения регистрационных полей на всех бланках у каждого участника ГВЭ и соответствие данных участника ГВЭ в документе, удостоверяющем личность, и в бланке регистрации.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В случае если участник ГВЭ с ОВЗ, участник ГВЭ – ребенок-инвалид и инвалид по состоянию здоровья не может поставить личную подпись в бланке регистрации, ассистент указанного участника ГВЭ или ответственный организатор в аудитории ставит в бланке регистрации свою подпись.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Напоминаем основные правила по заполнению бланка ответов.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Обращаем ваше внимание, что на бланке ответов запрещается делать какие-либо записи и пометки, не относящиеся к ответам на задания, в том числе содержащие информацию о личности участника ГВЭ. Также обращаем ваше внимание на то, что ответы, записанные в черновиках и КИМ, не проверяются.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В случае нехватки места в бланке ответов Вы можете обратиться к нам за дополнительным бланком ответов.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По всем вопросам, связанным с проведением экзамена (за исключением вопросов по содержанию КИМ), Вы можете обращаться к нам. В случае необходимости выхода из аудитории оставьте ваши письменные принадлежности, экзаменационные материалы и черновики на своем рабочем столе. Организатор проверит комплектность оставленных вами экзаменационных материалов, после чего Вы сможете выйти из аудитории. На территории ППЭ вас будет сопровождать организатор.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В случае плохого самочувствия незамедлительно обращайтесь к нам. В ППЭ присутствует медицинский работник. Напоминаем, что по состоянию здоровья Вы можете досрочно завершить экзамен и прийти на пересдачу.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Инструктаж закончен. Перед началом выполнения экзаменационной работы, пожалуйста, успокойтесь, сосредоточьтесь.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 xml:space="preserve">Начало выполнения экзаменационной работы: </w:t>
      </w:r>
      <w:r>
        <w:rPr>
          <w:i/>
          <w:sz w:val="28"/>
        </w:rPr>
        <w:t>(объявить время начала)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 xml:space="preserve">Окончание выполнения экзаменационной работы: </w:t>
      </w:r>
      <w:r>
        <w:rPr>
          <w:i/>
          <w:sz w:val="28"/>
        </w:rPr>
        <w:t>(указать время)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Запишите на доске время начала и окончания выполнения экзаменационной работы.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Время, отведенное на инструктаж и заполнение регистрационных полей бланков, в общее время выполнения экзаменационной работы не включается.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Не забывайте переносить ответы из черновиков и КИМ в бланки ответов черной гелевой или капиллярной ручкой.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Вы можете приступать к выполнению заданий. Желаем удачи!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За 30 минут до окончания выполнения экзаменационной работы необходимо объявить: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До окончания выполнения экзаменационной работы осталось 30 минут.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Не забывайте переносить ответы из КИМ и черновиков в бланки ответов черной гелевой или капиллярной ручкой.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За 5 минут до окончания выполнения экзаменационной работы необходимо объявить: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До окончания выполнения экзаменационной работы осталось 5 минут.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>Проверьте, все ли ответы вы перенесли из КИМ и черновиков в бланки ответов.</w:t>
      </w:r>
    </w:p>
    <w:p>
      <w:p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По окончании выполнения экзаменационной работы объявить:</w:t>
      </w:r>
    </w:p>
    <w:p>
      <w:pPr>
        <w:pStyle w:val="111"/>
        <w:ind w:firstLine="800" w:left="0" w:right="0"/>
        <w:jc w:val="both"/>
        <w:rPr>
          <w:b/>
          <w:sz w:val="28"/>
        </w:rPr>
      </w:pPr>
      <w:r>
        <w:rPr>
          <w:b/>
          <w:sz w:val="28"/>
        </w:rPr>
        <w:t xml:space="preserve">Выполнение экзаменационной работы окончено. Сложите бланки ГВЭ в следующем порядке: бланк регистрации, бланк ответов, дополнительные бланки ответов (если использовали) по порядку. Положите комплект бланков, КИМ и черновики на </w:t>
      </w:r>
      <w:bookmarkStart w:id="18" w:name="_GoBack"/>
      <w:bookmarkEnd w:id="18"/>
      <w:r>
        <w:rPr>
          <w:b/>
          <w:sz w:val="28"/>
        </w:rPr>
        <w:t>край стола. Мы пройдем и соберем Ваши экзаменационные материалы.</w:t>
      </w:r>
    </w:p>
    <w:p>
      <w:pPr>
        <w:sectPr>
          <w:headerReference w:type="even" r:id="rId3"/>
          <w:headerReference w:type="default" r:id="rId4"/>
          <w:footerReference w:type="even" r:id="rId5"/>
          <w:footerReference w:type="default" r:id="rId6"/>
          <w:footnotePr>
            <w:numFmt w:val="decimal"/>
          </w:footnotePr>
          <w:type w:val="nextPage"/>
          <w:pgSz w:w="11906" w:h="16838"/>
          <w:pgMar w:left="953" w:right="508" w:gutter="0" w:header="0" w:top="918" w:footer="3" w:bottom="1274"/>
          <w:pgNumType w:start="189" w:fmt="decimal"/>
          <w:formProt w:val="false"/>
          <w:textDirection w:val="lrTb"/>
          <w:docGrid w:type="default" w:linePitch="100" w:charSpace="0"/>
        </w:sectPr>
        <w:pStyle w:val="111"/>
        <w:ind w:firstLine="800" w:left="0" w:right="0"/>
        <w:jc w:val="both"/>
        <w:rPr>
          <w:i/>
          <w:i/>
          <w:sz w:val="28"/>
        </w:rPr>
      </w:pPr>
      <w:r>
        <w:rPr>
          <w:i/>
          <w:sz w:val="28"/>
        </w:rPr>
        <w:t>Организаторы осуществляют сбор экзаменационных материалов с рабочих мест участников ГВЭ в организованном порядке.</w:t>
      </w:r>
    </w:p>
    <w:p>
      <w:pPr>
        <w:pStyle w:val="Normal"/>
        <w:spacing w:lineRule="exact" w:line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15214" w:type="dxa"/>
        <w:jc w:val="left"/>
        <w:tblInd w:w="-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1"/>
        <w:gridCol w:w="2312"/>
      </w:tblGrid>
      <w:tr>
        <w:trPr/>
        <w:tc>
          <w:tcPr>
            <w:tcW w:w="12901" w:type="dxa"/>
            <w:tcBorders/>
          </w:tcPr>
          <w:p>
            <w:pPr>
              <w:pStyle w:val="Normal"/>
              <w:spacing w:lineRule="auto" w:line="240"/>
              <w:ind w:firstLine="720" w:left="0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2312" w:type="dxa"/>
            <w:tcBorders/>
          </w:tcPr>
          <w:p>
            <w:pPr>
              <w:pStyle w:val="Normal"/>
              <w:spacing w:lineRule="auto" w:line="240"/>
              <w:ind w:hanging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8"/>
              </w:rPr>
              <w:t>Приложение 2</w:t>
            </w:r>
          </w:p>
        </w:tc>
      </w:tr>
    </w:tbl>
    <w:p>
      <w:pPr>
        <w:pStyle w:val="Normal"/>
        <w:keepNext w:val="true"/>
        <w:keepLines/>
        <w:numPr>
          <w:ilvl w:val="0"/>
          <w:numId w:val="0"/>
        </w:numPr>
        <w:ind w:hanging="0" w:left="0" w:right="0"/>
        <w:jc w:val="center"/>
        <w:outlineLvl w:val="8"/>
        <w:rPr/>
      </w:pPr>
      <w:r>
        <w:rPr>
          <w:rFonts w:ascii="Times New Roman" w:hAnsi="Times New Roman"/>
          <w:b/>
          <w:sz w:val="28"/>
        </w:rPr>
        <w:t xml:space="preserve">ЖУРНАЛ </w:t>
      </w:r>
    </w:p>
    <w:p>
      <w:pPr>
        <w:pStyle w:val="Normal"/>
        <w:keepNext w:val="true"/>
        <w:keepLines/>
        <w:numPr>
          <w:ilvl w:val="0"/>
          <w:numId w:val="0"/>
        </w:numPr>
        <w:ind w:hanging="0" w:left="0" w:right="0"/>
        <w:jc w:val="center"/>
        <w:outlineLvl w:val="8"/>
        <w:rPr>
          <w:rFonts w:ascii="Times New Roman" w:hAnsi="Times New Roman"/>
        </w:rPr>
      </w:pPr>
      <w:r>
        <w:rPr>
          <w:rFonts w:ascii="Times New Roman" w:hAnsi="Times New Roman"/>
          <w:b/>
          <w:spacing w:val="20"/>
          <w:sz w:val="28"/>
        </w:rPr>
        <w:t>учета участников экзамена, обратившихся к медицинскому</w:t>
        <w:br/>
        <w:t>работнику во время проведения экзамена</w:t>
      </w:r>
    </w:p>
    <w:p>
      <w:pPr>
        <w:pStyle w:val="Normal"/>
        <w:ind w:firstLine="720" w:left="0" w:right="0"/>
        <w:jc w:val="center"/>
        <w:rPr>
          <w:rFonts w:ascii="Times New Roman" w:hAnsi="Times New Roman"/>
          <w:spacing w:val="20"/>
          <w:sz w:val="28"/>
        </w:rPr>
      </w:pPr>
      <w:r>
        <w:rPr>
          <w:rFonts w:ascii="Times New Roman" w:hAnsi="Times New Roman"/>
          <w:spacing w:val="20"/>
          <w:sz w:val="28"/>
        </w:rPr>
      </w:r>
    </w:p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b/>
        </w:rPr>
      </w:pPr>
      <w:r>
        <w:rPr>
          <w:b/>
          <w:sz w:val="28"/>
        </w:rPr>
        <w:t>____________________________________________________________________________________________________</w:t>
      </w:r>
    </w:p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sz w:val="28"/>
        </w:rPr>
      </w:pPr>
      <w:r>
        <w:rPr>
          <w:sz w:val="28"/>
        </w:rPr>
      </w:r>
    </w:p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b/>
        </w:rPr>
      </w:pPr>
      <w:r>
        <w:rPr>
          <w:b/>
          <w:sz w:val="28"/>
        </w:rPr>
        <w:t>______________________________________________________________________________________________________</w:t>
      </w:r>
    </w:p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(наименование и адрес образовательной организации, на базе которой расположен ППЭ)</w:t>
      </w:r>
    </w:p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</w:r>
    </w:p>
    <w:tbl>
      <w:tblPr>
        <w:tblW w:w="1700" w:type="dxa"/>
        <w:jc w:val="left"/>
        <w:tblInd w:w="68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00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b/>
        </w:rPr>
      </w:pPr>
      <w:r>
        <w:rPr>
          <w:b/>
        </w:rPr>
        <w:t xml:space="preserve">          </w:t>
      </w:r>
      <w:r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>(Код ППЭ)</w:t>
      </w:r>
    </w:p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b/>
          <w:sz w:val="28"/>
        </w:rPr>
      </w:pPr>
      <w:r>
        <w:rPr>
          <w:b/>
          <w:sz w:val="28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47"/>
        <w:gridCol w:w="10552"/>
        <w:gridCol w:w="3165"/>
      </w:tblGrid>
      <w:tr>
        <w:trPr/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 xml:space="preserve">№ </w:t>
            </w: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п/п</w:t>
            </w:r>
          </w:p>
        </w:tc>
        <w:tc>
          <w:tcPr>
            <w:tcW w:w="10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Ф.И.О. медицинского работника, закреплённого за ППЭ в дни проведения ЕГЭ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</w:rPr>
              <w:t>Дата</w:t>
            </w:r>
          </w:p>
        </w:tc>
      </w:tr>
      <w:tr>
        <w:trPr/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680" w:left="737" w:right="680"/>
              <w:jc w:val="center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  <w:tc>
          <w:tcPr>
            <w:tcW w:w="10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</w:tr>
      <w:tr>
        <w:trPr/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680" w:left="737" w:right="680"/>
              <w:jc w:val="center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  <w:tc>
          <w:tcPr>
            <w:tcW w:w="10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  <w:tc>
          <w:tcPr>
            <w:tcW w:w="3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</w:tr>
      <w:tr>
        <w:trPr/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680" w:left="737" w:right="680"/>
              <w:jc w:val="center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  <w:tc>
          <w:tcPr>
            <w:tcW w:w="10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  <w:tc>
          <w:tcPr>
            <w:tcW w:w="3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</w:tr>
      <w:tr>
        <w:trPr/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680" w:left="737" w:right="680"/>
              <w:jc w:val="center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  <w:tc>
          <w:tcPr>
            <w:tcW w:w="10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  <w:tc>
          <w:tcPr>
            <w:tcW w:w="3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</w:tr>
      <w:tr>
        <w:trPr/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680" w:left="737" w:right="680"/>
              <w:jc w:val="center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  <w:tc>
          <w:tcPr>
            <w:tcW w:w="10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  <w:tc>
          <w:tcPr>
            <w:tcW w:w="3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</w:tr>
      <w:tr>
        <w:trPr/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680" w:left="737" w:right="680"/>
              <w:jc w:val="center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  <w:tc>
          <w:tcPr>
            <w:tcW w:w="10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  <w:tc>
          <w:tcPr>
            <w:tcW w:w="3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b/>
          <w:sz w:val="8"/>
        </w:rPr>
      </w:pPr>
      <w:r>
        <w:rPr>
          <w:b/>
          <w:sz w:val="8"/>
        </w:rPr>
      </w:r>
    </w:p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b/>
          <w:sz w:val="8"/>
        </w:rPr>
      </w:pPr>
      <w:r>
        <w:rPr>
          <w:b/>
          <w:sz w:val="8"/>
        </w:rPr>
      </w:r>
    </w:p>
    <w:tbl>
      <w:tblPr>
        <w:tblW w:w="1456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12998"/>
      </w:tblGrid>
      <w:tr>
        <w:trPr>
          <w:trHeight w:val="551" w:hRule="atLeast"/>
        </w:trPr>
        <w:tc>
          <w:tcPr>
            <w:tcW w:w="15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firstLine="14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8"/>
              </w:rPr>
              <w:t>НАЧАТ</w:t>
            </w:r>
          </w:p>
        </w:tc>
        <w:tc>
          <w:tcPr>
            <w:tcW w:w="1299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815" w:leader="none"/>
                <w:tab w:val="left" w:pos="4062" w:leader="none"/>
              </w:tabs>
              <w:spacing w:lineRule="auto" w:line="240" w:before="300" w:after="0"/>
              <w:ind w:hanging="0" w:left="134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0"/>
                <w:sz w:val="28"/>
                <w:u w:val="single"/>
              </w:rPr>
              <w:tab/>
            </w:r>
            <w:r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0"/>
                <w:sz w:val="28"/>
                <w:u w:val="single"/>
              </w:rPr>
              <w:tab/>
            </w:r>
            <w:r>
              <w:rPr>
                <w:rFonts w:ascii="Times New Roman" w:hAnsi="Times New Roman"/>
                <w:spacing w:val="0"/>
                <w:sz w:val="28"/>
              </w:rPr>
              <w:t xml:space="preserve"> 20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815" w:leader="none"/>
                <w:tab w:val="left" w:pos="4062" w:leader="none"/>
              </w:tabs>
              <w:spacing w:lineRule="auto" w:line="240" w:before="0" w:after="0"/>
              <w:ind w:hanging="0" w:left="134" w:right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814" w:hRule="atLeast"/>
        </w:trPr>
        <w:tc>
          <w:tcPr>
            <w:tcW w:w="15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8"/>
              </w:rPr>
              <w:t>ОКОНЧЕН</w:t>
            </w:r>
          </w:p>
        </w:tc>
        <w:tc>
          <w:tcPr>
            <w:tcW w:w="1299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815" w:leader="none"/>
                <w:tab w:val="left" w:pos="4062" w:leader="none"/>
              </w:tabs>
              <w:spacing w:lineRule="auto" w:line="240" w:before="300" w:after="0"/>
              <w:ind w:hanging="0" w:left="134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0"/>
                <w:sz w:val="28"/>
                <w:u w:val="single"/>
              </w:rPr>
              <w:tab/>
            </w:r>
            <w:r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0"/>
                <w:sz w:val="28"/>
                <w:u w:val="single"/>
              </w:rPr>
              <w:tab/>
            </w:r>
            <w:r>
              <w:rPr>
                <w:rFonts w:ascii="Times New Roman" w:hAnsi="Times New Roman"/>
                <w:spacing w:val="0"/>
                <w:sz w:val="28"/>
              </w:rPr>
              <w:t xml:space="preserve"> 20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815" w:leader="none"/>
                <w:tab w:val="left" w:pos="4062" w:leader="none"/>
              </w:tabs>
              <w:spacing w:lineRule="auto" w:line="240" w:before="0" w:after="0"/>
              <w:ind w:hanging="0" w:left="134" w:right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exact" w:line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br w:type="page"/>
      </w:r>
    </w:p>
    <w:tbl>
      <w:tblPr>
        <w:tblStyle w:val="Style_15"/>
        <w:tblW w:w="14566" w:type="dxa"/>
        <w:jc w:val="lef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40"/>
        <w:gridCol w:w="907"/>
        <w:gridCol w:w="928"/>
        <w:gridCol w:w="2650"/>
        <w:gridCol w:w="1059"/>
        <w:gridCol w:w="1854"/>
        <w:gridCol w:w="1854"/>
        <w:gridCol w:w="1594"/>
        <w:gridCol w:w="1723"/>
        <w:gridCol w:w="1455"/>
      </w:tblGrid>
      <w:tr>
        <w:trPr>
          <w:trHeight w:val="1144" w:hRule="exact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pageBreakBefore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п/ п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Обращение</w:t>
            </w:r>
          </w:p>
        </w:tc>
        <w:tc>
          <w:tcPr>
            <w:tcW w:w="26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Фамилия, имя, отчество участника ГВЭ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Номер аудитории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Причина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обращения</w:t>
            </w:r>
          </w:p>
        </w:tc>
        <w:tc>
          <w:tcPr>
            <w:tcW w:w="344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Принятые меры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 xml:space="preserve"> </w:t>
            </w:r>
            <w:r>
              <w:rPr>
                <w:i/>
                <w:spacing w:val="0"/>
                <w:kern w:val="0"/>
                <w:sz w:val="22"/>
                <w:szCs w:val="20"/>
              </w:rPr>
              <w:t>(в соответствующем поле поставить «Х»)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Подпись участника ГВЭ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Подпись медицинского работника</w:t>
            </w:r>
          </w:p>
        </w:tc>
      </w:tr>
      <w:tr>
        <w:trPr>
          <w:trHeight w:val="2982" w:hRule="exact"/>
        </w:trPr>
        <w:tc>
          <w:tcPr>
            <w:tcW w:w="540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дата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время</w:t>
            </w:r>
          </w:p>
        </w:tc>
        <w:tc>
          <w:tcPr>
            <w:tcW w:w="2650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1059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1854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Оказана медицинская помощь, участник ГВЭ ОТКАЗАЛСЯ ОТ СОСТАВЛЕНИЯ АКТА О ДОСРОЧНОМ ЗАВЕРШЕНИИ ЭКЗАМЕНА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Оказана медицинская помощь, и СОСТАВЛЕН АКТ О ДОСРОЧНОМ ЗАВЕРШЕНИИ ЭКЗАМЕНА</w:t>
            </w:r>
          </w:p>
        </w:tc>
        <w:tc>
          <w:tcPr>
            <w:tcW w:w="17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145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</w:tr>
      <w:tr>
        <w:trPr>
          <w:trHeight w:val="586" w:hRule="exac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firstLine="340" w:left="0" w:right="0"/>
              <w:jc w:val="left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3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5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7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8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9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10</w:t>
            </w:r>
          </w:p>
        </w:tc>
      </w:tr>
      <w:tr>
        <w:trPr>
          <w:trHeight w:val="394" w:hRule="exac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4" w:hRule="exac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8" w:hRule="exac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8" w:hRule="exac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4" w:hRule="exac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8" w:hRule="exac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8" w:hRule="exac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8" w:hRule="exac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418" w:hRule="exac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</w:tbl>
    <w:p>
      <w:pPr>
        <w:pStyle w:val="111"/>
        <w:tabs>
          <w:tab w:val="clear" w:pos="709"/>
          <w:tab w:val="left" w:pos="1102" w:leader="none"/>
        </w:tabs>
        <w:spacing w:before="0" w:after="280"/>
        <w:ind w:hanging="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tabs>
          <w:tab w:val="clear" w:pos="709"/>
          <w:tab w:val="left" w:pos="1102" w:leader="none"/>
        </w:tabs>
        <w:spacing w:before="0" w:after="280"/>
        <w:ind w:hanging="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tabs>
          <w:tab w:val="clear" w:pos="709"/>
          <w:tab w:val="left" w:pos="1102" w:leader="none"/>
        </w:tabs>
        <w:spacing w:before="0" w:after="280"/>
        <w:ind w:hanging="0" w:left="0" w:right="0"/>
        <w:jc w:val="both"/>
        <w:rPr>
          <w:sz w:val="28"/>
        </w:rPr>
      </w:pPr>
      <w:r>
        <w:rPr>
          <w:sz w:val="28"/>
        </w:rPr>
      </w:r>
    </w:p>
    <w:tbl>
      <w:tblPr>
        <w:tblW w:w="1513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5"/>
        <w:gridCol w:w="2589"/>
      </w:tblGrid>
      <w:tr>
        <w:trPr>
          <w:trHeight w:val="631" w:hRule="atLeast"/>
        </w:trPr>
        <w:tc>
          <w:tcPr>
            <w:tcW w:w="12545" w:type="dxa"/>
            <w:tcBorders/>
          </w:tcPr>
          <w:p>
            <w:pPr>
              <w:pStyle w:val="Normal"/>
              <w:spacing w:lineRule="auto" w:line="240"/>
              <w:ind w:firstLine="720" w:left="0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Normal"/>
              <w:spacing w:lineRule="auto" w:line="240"/>
              <w:ind w:firstLine="720" w:left="0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2589" w:type="dxa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227" w:right="227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sz w:val="28"/>
              </w:rPr>
              <w:t>Приложение 3</w:t>
            </w:r>
          </w:p>
        </w:tc>
      </w:tr>
    </w:tbl>
    <w:p>
      <w:pPr>
        <w:pStyle w:val="Normal"/>
        <w:keepNext w:val="true"/>
        <w:keepLines/>
        <w:numPr>
          <w:ilvl w:val="0"/>
          <w:numId w:val="0"/>
        </w:numPr>
        <w:ind w:hanging="0" w:left="0" w:right="0"/>
        <w:jc w:val="center"/>
        <w:outlineLvl w:val="8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ЖУРНАЛ </w:t>
      </w:r>
    </w:p>
    <w:p>
      <w:pPr>
        <w:pStyle w:val="Normal"/>
        <w:keepNext w:val="true"/>
        <w:keepLines/>
        <w:numPr>
          <w:ilvl w:val="0"/>
          <w:numId w:val="0"/>
        </w:numPr>
        <w:ind w:hanging="0" w:left="0" w:right="0"/>
        <w:jc w:val="center"/>
        <w:outlineLvl w:val="8"/>
        <w:rPr>
          <w:rFonts w:ascii="Times New Roman" w:hAnsi="Times New Roman"/>
        </w:rPr>
      </w:pPr>
      <w:r>
        <w:rPr>
          <w:rFonts w:ascii="Times New Roman" w:hAnsi="Times New Roman"/>
          <w:b/>
          <w:spacing w:val="20"/>
          <w:sz w:val="28"/>
        </w:rPr>
        <w:t xml:space="preserve">ознакомления опоздавших участников экзамена </w:t>
      </w:r>
    </w:p>
    <w:p>
      <w:pPr>
        <w:pStyle w:val="Normal"/>
        <w:keepNext w:val="true"/>
        <w:keepLines/>
        <w:numPr>
          <w:ilvl w:val="0"/>
          <w:numId w:val="0"/>
        </w:numPr>
        <w:ind w:hanging="0" w:left="0" w:right="0"/>
        <w:jc w:val="center"/>
        <w:outlineLvl w:val="8"/>
        <w:rPr>
          <w:rFonts w:ascii="Times New Roman" w:hAnsi="Times New Roman"/>
        </w:rPr>
      </w:pPr>
      <w:r>
        <w:rPr>
          <w:rFonts w:ascii="Times New Roman" w:hAnsi="Times New Roman"/>
          <w:b/>
          <w:spacing w:val="20"/>
          <w:sz w:val="28"/>
        </w:rPr>
        <w:t>с инструкцией для участников ГИА</w:t>
      </w:r>
    </w:p>
    <w:p>
      <w:pPr>
        <w:pStyle w:val="Normal"/>
        <w:widowControl w:val="false"/>
        <w:spacing w:before="0" w:after="120"/>
        <w:ind w:hanging="0" w:left="0" w:right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sz w:val="28"/>
        </w:rPr>
      </w:pPr>
      <w:r>
        <w:rPr>
          <w:sz w:val="28"/>
        </w:rPr>
      </w:r>
    </w:p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b/>
        </w:rPr>
      </w:pPr>
      <w:r>
        <w:rPr>
          <w:b/>
          <w:sz w:val="28"/>
        </w:rPr>
        <w:t>_____________________________________________________________________________</w:t>
      </w:r>
    </w:p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(наименование и адрес образовательной организации, на базе которой расположен ППЭ)</w:t>
      </w:r>
    </w:p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</w:r>
    </w:p>
    <w:tbl>
      <w:tblPr>
        <w:tblW w:w="1700" w:type="dxa"/>
        <w:jc w:val="left"/>
        <w:tblInd w:w="68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00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 w:left="0" w:right="0"/>
              <w:jc w:val="left"/>
              <w:rPr>
                <w:rFonts w:ascii="XO Thames" w:hAnsi="XO Thames"/>
                <w:color w:val="000000"/>
                <w:spacing w:val="0"/>
                <w:sz w:val="24"/>
              </w:rPr>
            </w:pPr>
            <w:r>
              <w:rPr>
                <w:rFonts w:ascii="XO Thames" w:hAnsi="XO Thames"/>
                <w:color w:val="000000"/>
                <w:spacing w:val="0"/>
                <w:sz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ind w:hanging="0" w:left="0" w:right="0"/>
        <w:jc w:val="center"/>
        <w:outlineLvl w:val="8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</w:t>
      </w:r>
      <w:r>
        <w:rPr>
          <w:rFonts w:ascii="Times New Roman" w:hAnsi="Times New Roman"/>
          <w:b/>
        </w:rPr>
        <w:t>(Код ППЭ)</w:t>
      </w:r>
    </w:p>
    <w:p>
      <w:pPr>
        <w:pStyle w:val="Normal"/>
        <w:widowControl w:val="false"/>
        <w:spacing w:before="0" w:after="120"/>
        <w:ind w:hanging="0" w:left="0" w:right="0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spacing w:lineRule="exact" w:line="1" w:before="0" w:after="11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7229" w:type="dxa"/>
        <w:jc w:val="left"/>
        <w:tblInd w:w="3681" w:type="dxa"/>
        <w:tblLayout w:type="fixed"/>
        <w:tblCellMar>
          <w:top w:w="0" w:type="dxa"/>
          <w:left w:w="5" w:type="dxa"/>
          <w:bottom w:w="0" w:type="dxa"/>
          <w:right w:w="10" w:type="dxa"/>
        </w:tblCellMar>
      </w:tblPr>
      <w:tblGrid>
        <w:gridCol w:w="1700"/>
        <w:gridCol w:w="5528"/>
      </w:tblGrid>
      <w:tr>
        <w:trPr>
          <w:trHeight w:val="600" w:hRule="atLeast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3402" w:leader="none"/>
              </w:tabs>
              <w:spacing w:lineRule="auto" w:line="240" w:before="150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8"/>
              </w:rPr>
              <w:t>НАЧАТ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815" w:leader="none"/>
                <w:tab w:val="left" w:pos="4062" w:leader="none"/>
              </w:tabs>
              <w:spacing w:lineRule="auto" w:line="240" w:before="300" w:after="0"/>
              <w:ind w:hanging="0" w:left="134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0"/>
                <w:sz w:val="28"/>
                <w:u w:val="single"/>
              </w:rPr>
              <w:tab/>
            </w:r>
            <w:r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0"/>
                <w:sz w:val="28"/>
                <w:u w:val="single"/>
              </w:rPr>
              <w:tab/>
            </w:r>
            <w:r>
              <w:rPr>
                <w:rFonts w:ascii="Times New Roman" w:hAnsi="Times New Roman"/>
                <w:spacing w:val="0"/>
                <w:sz w:val="28"/>
              </w:rPr>
              <w:t xml:space="preserve"> 20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815" w:leader="none"/>
                <w:tab w:val="left" w:pos="4062" w:leader="none"/>
              </w:tabs>
              <w:spacing w:lineRule="auto" w:line="240" w:before="0" w:after="0"/>
              <w:ind w:hanging="0" w:left="134" w:right="0"/>
              <w:contextualSpacing/>
              <w:jc w:val="center"/>
              <w:rPr>
                <w:rFonts w:ascii="Times New Roman" w:hAnsi="Times New Roman"/>
                <w:sz w:val="8"/>
              </w:rPr>
            </w:pPr>
            <w:r>
              <w:rPr>
                <w:rFonts w:ascii="Times New Roman" w:hAnsi="Times New Roman"/>
                <w:sz w:val="8"/>
              </w:rPr>
            </w:r>
          </w:p>
        </w:tc>
      </w:tr>
    </w:tbl>
    <w:p>
      <w:pPr>
        <w:pStyle w:val="Normal"/>
        <w:tabs>
          <w:tab w:val="clear" w:pos="709"/>
          <w:tab w:val="left" w:pos="3402" w:leader="none"/>
        </w:tabs>
        <w:spacing w:lineRule="exact" w:line="1" w:before="0" w:after="27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tabs>
          <w:tab w:val="clear" w:pos="709"/>
          <w:tab w:val="left" w:pos="3402" w:leader="none"/>
        </w:tabs>
        <w:spacing w:lineRule="exact" w:line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7229" w:type="dxa"/>
        <w:jc w:val="left"/>
        <w:tblInd w:w="3681" w:type="dxa"/>
        <w:tblLayout w:type="fixed"/>
        <w:tblCellMar>
          <w:top w:w="0" w:type="dxa"/>
          <w:left w:w="5" w:type="dxa"/>
          <w:bottom w:w="0" w:type="dxa"/>
          <w:right w:w="10" w:type="dxa"/>
        </w:tblCellMar>
      </w:tblPr>
      <w:tblGrid>
        <w:gridCol w:w="1750"/>
        <w:gridCol w:w="5478"/>
      </w:tblGrid>
      <w:tr>
        <w:trPr>
          <w:trHeight w:val="600" w:hRule="atLeast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3402" w:leader="none"/>
              </w:tabs>
              <w:spacing w:lineRule="auto" w:line="240" w:before="153" w:after="0"/>
              <w:ind w:hanging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8"/>
              </w:rPr>
              <w:t>ОКОНЧЕН</w:t>
            </w:r>
          </w:p>
        </w:tc>
        <w:tc>
          <w:tcPr>
            <w:tcW w:w="5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796" w:leader="none"/>
                <w:tab w:val="left" w:pos="4046" w:leader="none"/>
              </w:tabs>
              <w:spacing w:lineRule="auto" w:line="240" w:before="0" w:after="0"/>
              <w:ind w:hanging="0" w:left="134" w:right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0"/>
                <w:sz w:val="28"/>
                <w:u w:val="single"/>
              </w:rPr>
              <w:tab/>
            </w:r>
            <w:r>
              <w:rPr>
                <w:rFonts w:ascii="Times New Roman" w:hAnsi="Times New Roman"/>
                <w:spacing w:val="0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0"/>
                <w:sz w:val="28"/>
                <w:u w:val="single"/>
              </w:rPr>
              <w:tab/>
            </w:r>
            <w:r>
              <w:rPr>
                <w:rFonts w:ascii="Times New Roman" w:hAnsi="Times New Roman"/>
                <w:spacing w:val="0"/>
                <w:sz w:val="28"/>
              </w:rPr>
              <w:t xml:space="preserve"> 20</w:t>
            </w:r>
          </w:p>
        </w:tc>
      </w:tr>
    </w:tbl>
    <w:p>
      <w:pPr>
        <w:pStyle w:val="Normal"/>
        <w:spacing w:lineRule="exact" w:line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br w:type="page"/>
      </w:r>
    </w:p>
    <w:tbl>
      <w:tblPr>
        <w:tblStyle w:val="Style_15"/>
        <w:tblW w:w="14571" w:type="dxa"/>
        <w:jc w:val="left"/>
        <w:tblInd w:w="-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71"/>
        <w:gridCol w:w="960"/>
        <w:gridCol w:w="982"/>
        <w:gridCol w:w="3650"/>
        <w:gridCol w:w="1122"/>
        <w:gridCol w:w="3217"/>
        <w:gridCol w:w="2249"/>
        <w:gridCol w:w="1818"/>
      </w:tblGrid>
      <w:tr>
        <w:trPr>
          <w:trHeight w:val="1144" w:hRule="exact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pageBreakBefore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п/ п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Прибытие на ППЭ</w:t>
            </w:r>
          </w:p>
        </w:tc>
        <w:tc>
          <w:tcPr>
            <w:tcW w:w="36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Фамилия, имя, отчество участника ГВЭ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Номер аудитории</w:t>
            </w:r>
          </w:p>
        </w:tc>
        <w:tc>
          <w:tcPr>
            <w:tcW w:w="32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Предмет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Ознакомлен с инструкцией для участников ГВЭ</w:t>
            </w:r>
          </w:p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(Да)</w:t>
            </w:r>
          </w:p>
        </w:tc>
        <w:tc>
          <w:tcPr>
            <w:tcW w:w="1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Подпись участника ГВЭ</w:t>
            </w:r>
          </w:p>
        </w:tc>
      </w:tr>
      <w:tr>
        <w:trPr>
          <w:trHeight w:val="2982" w:hRule="exact"/>
        </w:trPr>
        <w:tc>
          <w:tcPr>
            <w:tcW w:w="571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дата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время</w:t>
            </w:r>
          </w:p>
        </w:tc>
        <w:tc>
          <w:tcPr>
            <w:tcW w:w="3650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1122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321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224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  <w:tc>
          <w:tcPr>
            <w:tcW w:w="181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Arial Unicode MS" w:hAnsi="Arial Unicode MS"/>
                <w:spacing w:val="0"/>
                <w:kern w:val="0"/>
                <w:sz w:val="24"/>
                <w:szCs w:val="20"/>
              </w:rPr>
            </w:pPr>
            <w:r>
              <w:rPr>
                <w:spacing w:val="0"/>
                <w:kern w:val="0"/>
                <w:sz w:val="24"/>
                <w:szCs w:val="20"/>
              </w:rPr>
            </w:r>
          </w:p>
        </w:tc>
      </w:tr>
      <w:tr>
        <w:trPr>
          <w:trHeight w:val="586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firstLine="340" w:left="0" w:right="0"/>
              <w:jc w:val="left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3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5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6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7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14"/>
              <w:widowControl w:val="false"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spacing w:val="0"/>
                <w:kern w:val="0"/>
                <w:sz w:val="22"/>
                <w:szCs w:val="20"/>
              </w:rPr>
              <w:t>8</w:t>
            </w:r>
          </w:p>
        </w:tc>
      </w:tr>
      <w:tr>
        <w:trPr>
          <w:trHeight w:val="394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4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8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8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4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8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8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398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418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</w:tbl>
    <w:p>
      <w:pPr>
        <w:pStyle w:val="111"/>
        <w:tabs>
          <w:tab w:val="clear" w:pos="709"/>
          <w:tab w:val="left" w:pos="1102" w:leader="none"/>
        </w:tabs>
        <w:spacing w:before="0" w:after="280"/>
        <w:ind w:hanging="0" w:left="0" w:right="0"/>
        <w:jc w:val="both"/>
        <w:rPr>
          <w:sz w:val="28"/>
        </w:rPr>
      </w:pPr>
      <w:r>
        <w:rPr>
          <w:sz w:val="28"/>
        </w:rPr>
      </w:r>
    </w:p>
    <w:p>
      <w:pPr>
        <w:pStyle w:val="111"/>
        <w:tabs>
          <w:tab w:val="clear" w:pos="709"/>
          <w:tab w:val="left" w:pos="1102" w:leader="none"/>
        </w:tabs>
        <w:spacing w:before="0" w:after="280"/>
        <w:ind w:hanging="0" w:left="0" w:right="0"/>
        <w:jc w:val="both"/>
        <w:rPr>
          <w:sz w:val="28"/>
        </w:rPr>
      </w:pPr>
      <w:r>
        <w:rPr>
          <w:sz w:val="28"/>
        </w:rPr>
      </w:r>
    </w:p>
    <w:sectPr>
      <w:headerReference w:type="even" r:id="rId7"/>
      <w:headerReference w:type="default" r:id="rId8"/>
      <w:headerReference w:type="first" r:id="rId9"/>
      <w:footerReference w:type="even" r:id="rId10"/>
      <w:footerReference w:type="default" r:id="rId11"/>
      <w:footerReference w:type="first" r:id="rId12"/>
      <w:footnotePr>
        <w:numFmt w:val="decimal"/>
      </w:footnotePr>
      <w:type w:val="nextPage"/>
      <w:pgSz w:orient="landscape" w:w="16838" w:h="11906"/>
      <w:pgMar w:left="1157" w:right="1117" w:gutter="0" w:header="0" w:top="1094" w:footer="6" w:bottom="505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Arial Unicode MS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XO Thames">
    <w:charset w:val="01"/>
    <w:family w:val="roman"/>
    <w:pitch w:val="variable"/>
  </w:font>
  <w:font w:name="Open Sans">
    <w:charset w:val="01"/>
    <w:family w:val="roman"/>
    <w:pitch w:val="variable"/>
  </w:font>
  <w:font w:name="Symbol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  <mc:AlternateContent>
        <mc:Choice Requires="wps">
          <w:drawing>
            <wp:anchor behindDoc="1" distT="635" distB="0" distL="635" distR="0" simplePos="0" locked="0" layoutInCell="0" allowOverlap="1" relativeHeight="39">
              <wp:simplePos x="0" y="0"/>
              <wp:positionH relativeFrom="page">
                <wp:posOffset>7042150</wp:posOffset>
              </wp:positionH>
              <wp:positionV relativeFrom="page">
                <wp:posOffset>9979025</wp:posOffset>
              </wp:positionV>
              <wp:extent cx="164465" cy="260985"/>
              <wp:effectExtent l="635" t="635" r="0" b="0"/>
              <wp:wrapNone/>
              <wp:docPr id="4" name="Picture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520" cy="261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211"/>
                            <w:rPr>
                              <w:spacing w:val="0"/>
                              <w:sz w:val="26"/>
                            </w:rPr>
                          </w:pPr>
                          <w:r>
                            <w:rPr>
                              <w:spacing w:val="0"/>
                              <w:sz w:val="26"/>
                            </w:rPr>
                          </w:r>
                        </w:p>
                      </w:txbxContent>
                    </wps:txbx>
                    <wps:bodyPr lIns="36360" rIns="36360" tIns="36360" bIns="3636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icture 1" path="m0,0l-2147483645,0l-2147483645,-2147483646l0,-2147483646xe" stroked="f" o:allowincell="f" style="position:absolute;margin-left:554.5pt;margin-top:785.75pt;width:12.9pt;height:20.5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211"/>
                      <w:rPr>
                        <w:spacing w:val="0"/>
                        <w:sz w:val="26"/>
                      </w:rPr>
                    </w:pPr>
                    <w:r>
                      <w:rPr>
                        <w:spacing w:val="0"/>
                        <w:sz w:val="26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  <mc:AlternateContent>
        <mc:Choice Requires="wps">
          <w:drawing>
            <wp:anchor behindDoc="1" distT="635" distB="0" distL="635" distR="0" simplePos="0" locked="0" layoutInCell="0" allowOverlap="1" relativeHeight="77">
              <wp:simplePos x="0" y="0"/>
              <wp:positionH relativeFrom="page">
                <wp:posOffset>7042150</wp:posOffset>
              </wp:positionH>
              <wp:positionV relativeFrom="page">
                <wp:posOffset>9979025</wp:posOffset>
              </wp:positionV>
              <wp:extent cx="164465" cy="260985"/>
              <wp:effectExtent l="635" t="635" r="0" b="0"/>
              <wp:wrapNone/>
              <wp:docPr id="5" name="Pictur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520" cy="261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211"/>
                            <w:rPr>
                              <w:spacing w:val="0"/>
                              <w:sz w:val="26"/>
                            </w:rPr>
                          </w:pPr>
                          <w:r>
                            <w:rPr>
                              <w:spacing w:val="0"/>
                              <w:sz w:val="26"/>
                            </w:rPr>
                          </w:r>
                        </w:p>
                      </w:txbxContent>
                    </wps:txbx>
                    <wps:bodyPr lIns="36360" rIns="36360" tIns="36360" bIns="3636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icture 3" path="m0,0l-2147483645,0l-2147483645,-2147483646l0,-2147483646xe" stroked="f" o:allowincell="f" style="position:absolute;margin-left:554.5pt;margin-top:785.75pt;width:12.9pt;height:20.5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211"/>
                      <w:rPr>
                        <w:spacing w:val="0"/>
                        <w:sz w:val="26"/>
                      </w:rPr>
                    </w:pPr>
                    <w:r>
                      <w:rPr>
                        <w:spacing w:val="0"/>
                        <w:sz w:val="26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7053580</wp:posOffset>
              </wp:positionH>
              <wp:positionV relativeFrom="page">
                <wp:posOffset>10125710</wp:posOffset>
              </wp:positionV>
              <wp:extent cx="152400" cy="246380"/>
              <wp:effectExtent l="0" t="0" r="0" b="0"/>
              <wp:wrapNone/>
              <wp:docPr id="6" name="Pictur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246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12"/>
                            <w:rPr>
                              <w:spacing w:val="0"/>
                              <w:sz w:val="24"/>
                            </w:rPr>
                          </w:pPr>
                          <w:r>
                            <w:rPr>
                              <w:spacing w:val="0"/>
                              <w:sz w:val="24"/>
                            </w:rPr>
                          </w:r>
                        </w:p>
                      </w:txbxContent>
                    </wps:txbx>
                    <wps:bodyPr lIns="36360" rIns="36360" tIns="36360" bIns="3636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icture 2" path="m0,0l-2147483645,0l-2147483645,-2147483646l0,-2147483646xe" stroked="f" o:allowincell="f" style="position:absolute;margin-left:555.4pt;margin-top:797.3pt;width:11.95pt;height:19.35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12"/>
                      <w:rPr>
                        <w:spacing w:val="0"/>
                        <w:sz w:val="24"/>
                      </w:rPr>
                    </w:pPr>
                    <w:r>
                      <w:rPr>
                        <w:spacing w:val="0"/>
                        <w:sz w:val="24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tabs>
          <w:tab w:val="clear" w:pos="709"/>
          <w:tab w:val="left" w:pos="826" w:leader="none"/>
        </w:tabs>
        <w:jc w:val="both"/>
        <w:rPr/>
      </w:pPr>
      <w:r>
        <w:rPr>
          <w:rStyle w:val="Style8"/>
        </w:rPr>
        <w:footnoteRef/>
      </w:r>
      <w:r>
        <w:rPr/>
        <w:tab/>
        <w:t>Работники ППЭ, общественные наблюдатели, а также участники ГВЭ, покинувшие ППЭ в день проведения экзамена, повторно в ППЭ в указанный день не допускаются.</w:t>
      </w:r>
    </w:p>
  </w:footnote>
  <w:footnote w:id="3">
    <w:p>
      <w:pPr>
        <w:pStyle w:val="FootnoteText"/>
        <w:tabs>
          <w:tab w:val="clear" w:pos="709"/>
          <w:tab w:val="left" w:pos="826" w:leader="none"/>
        </w:tabs>
        <w:jc w:val="both"/>
        <w:rPr/>
      </w:pPr>
      <w:r>
        <w:rPr>
          <w:rStyle w:val="Style8"/>
        </w:rPr>
        <w:footnoteRef/>
      </w:r>
      <w:r>
        <w:rPr/>
        <w:tab/>
        <w:t>Допускается только в Штабе ППЭ и только в связи со служебной необходимостью.</w:t>
      </w:r>
    </w:p>
  </w:footnote>
  <w:footnote w:id="4">
    <w:p>
      <w:pPr>
        <w:pStyle w:val="FootnoteText"/>
        <w:tabs>
          <w:tab w:val="clear" w:pos="709"/>
          <w:tab w:val="left" w:pos="826" w:leader="none"/>
        </w:tabs>
        <w:jc w:val="both"/>
        <w:rPr/>
      </w:pPr>
      <w:r>
        <w:rPr>
          <w:rStyle w:val="Style8"/>
        </w:rPr>
        <w:footnoteRef/>
      </w:r>
      <w:r>
        <w:rPr/>
        <w:tab/>
        <w:t>Экзамены начинаются в 10.00 по местному времени.</w:t>
      </w:r>
    </w:p>
  </w:footnote>
  <w:footnote w:id="5">
    <w:p>
      <w:pPr>
        <w:pStyle w:val="Normal"/>
        <w:spacing w:lineRule="auto" w:line="240" w:before="0" w:after="0"/>
        <w:ind w:firstLine="709" w:left="0" w:right="0"/>
        <w:contextualSpacing/>
        <w:rPr/>
      </w:pPr>
      <w:r>
        <w:rPr>
          <w:rStyle w:val="Style8"/>
        </w:rPr>
        <w:footnoteRef/>
      </w:r>
      <w:r>
        <w:rPr/>
        <w:t xml:space="preserve"> </w:t>
      </w:r>
      <w:r>
        <w:rPr>
          <w:rFonts w:ascii="Times New Roman" w:hAnsi="Times New Roman"/>
          <w:sz w:val="20"/>
        </w:rPr>
        <w:t>В случае если участник ГВЭ по состоянию здоровья или другим объективным причинам не может завершить выполнение экзаменационной работы, он досрочно покидает ППЭ. При этом организаторы сопровождают участника ГВЭ к медицинскому работнику и приглашают члена ГЭК.</w:t>
      </w:r>
    </w:p>
  </w:footnote>
  <w:footnote w:id="6">
    <w:p>
      <w:pPr>
        <w:pStyle w:val="Normal"/>
        <w:spacing w:lineRule="auto" w:line="240" w:before="0" w:after="0"/>
        <w:ind w:firstLine="709" w:left="0" w:right="0"/>
        <w:contextualSpacing/>
        <w:rPr/>
      </w:pPr>
      <w:r>
        <w:rPr>
          <w:rStyle w:val="Style8"/>
        </w:rPr>
        <w:footnoteRef/>
      </w:r>
      <w:r>
        <w:rPr/>
        <w:t xml:space="preserve"> </w:t>
      </w:r>
      <w:r>
        <w:rPr>
          <w:rFonts w:ascii="Times New Roman" w:hAnsi="Times New Roman"/>
          <w:sz w:val="20"/>
        </w:rPr>
        <w:t>Апелляция может быть подана участником ГИА только до момента выхода из ППЭ.</w:t>
      </w:r>
    </w:p>
  </w:footnote>
  <w:footnote w:id="7">
    <w:p>
      <w:pPr>
        <w:pStyle w:val="FootnoteText"/>
        <w:tabs>
          <w:tab w:val="clear" w:pos="709"/>
          <w:tab w:val="left" w:pos="826" w:leader="none"/>
        </w:tabs>
        <w:spacing w:before="0" w:after="0"/>
        <w:jc w:val="both"/>
        <w:rPr/>
      </w:pPr>
      <w:r>
        <w:rPr>
          <w:rStyle w:val="Style8"/>
        </w:rPr>
        <w:footnoteRef/>
      </w:r>
      <w:r>
        <w:rPr/>
        <w:tab/>
        <w:t>Перенос ответов в бланки производится ассистентом после того, как участник ГИА завершил экзамен. Перенос осуществляется в ПОЛНОМ соответствии с ответами участников ГВЭ. При переносе ответов в бланки стандартного размера в поле «Подпись участника» ассистент пишет «Копия верна» и ставит свою подпись.</w:t>
      </w:r>
    </w:p>
  </w:footnote>
  <w:footnote w:id="8">
    <w:p>
      <w:pPr>
        <w:pStyle w:val="Normal"/>
        <w:spacing w:lineRule="auto" w:line="240" w:before="0" w:after="0"/>
        <w:ind w:firstLine="708" w:left="112" w:right="126"/>
        <w:contextualSpacing/>
        <w:jc w:val="both"/>
        <w:rPr/>
      </w:pPr>
      <w:r>
        <w:rPr>
          <w:rStyle w:val="Style8"/>
        </w:rPr>
        <w:footnoteRef/>
      </w:r>
      <w:r>
        <w:rPr/>
        <w:t xml:space="preserve"> </w:t>
      </w:r>
      <w:r>
        <w:rPr>
          <w:rFonts w:ascii="Times New Roman" w:hAnsi="Times New Roman"/>
          <w:sz w:val="20"/>
        </w:rPr>
        <w:t>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задания.</w:t>
      </w:r>
    </w:p>
  </w:footnote>
  <w:footnote w:id="9">
    <w:p>
      <w:pPr>
        <w:pStyle w:val="Normal"/>
        <w:spacing w:lineRule="auto" w:line="240" w:before="0" w:after="0"/>
        <w:ind w:firstLine="708" w:left="112" w:right="126"/>
        <w:contextualSpacing/>
        <w:jc w:val="both"/>
        <w:rPr/>
      </w:pPr>
      <w:r>
        <w:rPr>
          <w:rStyle w:val="Style8"/>
        </w:rPr>
        <w:footnoteRef/>
      </w:r>
      <w:r>
        <w:rPr/>
        <w:t xml:space="preserve"> </w:t>
      </w:r>
      <w:r>
        <w:rPr>
          <w:rFonts w:ascii="Times New Roman" w:hAnsi="Times New Roman"/>
          <w:sz w:val="20"/>
        </w:rPr>
        <w:t>За исключением ППЭ, в которых проводится сканирование экзаменационных работ участников ГВЭ.</w:t>
      </w:r>
    </w:p>
  </w:footnote>
  <w:footnote w:id="10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За исключением ППЭ, организованных в труднодоступных и отдаленных местностях, а также в учреждениях уголовно-исполнительной системы.</w:t>
      </w:r>
    </w:p>
  </w:footnote>
  <w:footnote w:id="11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Информация о количестве таких участников ГВЭ в ППЭ и о необходимости организации проведения экзаменов в условиях, учитывающих состояние их здоровья, особенности психофизического развития, направляется Министерством в ППЭ не позднее двух рабочих дней до дня проведения экзамена по соответствующему учебному предмету.</w:t>
      </w:r>
    </w:p>
  </w:footnote>
  <w:footnote w:id="12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 случае если ЭМ доставляются членом ГЭК в день проведения экзамена по соответствующему учебному предмету на бумажных носителях, упакованных в специальные пакеты.</w:t>
      </w:r>
    </w:p>
  </w:footnote>
  <w:footnote w:id="13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Предварительно следует заполнить отдельные пропуски по тексту указанной инструкции (например, плановая дата ознакомления с результатами и др.).</w:t>
      </w:r>
    </w:p>
  </w:footnote>
  <w:footnote w:id="14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Работники ППЭ, общественные наблюдатели, а также участники ГВЭ, покинувшие ППЭ в день проведения экзамена, повторно в ППЭ в указанный день не допускаются.</w:t>
      </w:r>
    </w:p>
  </w:footnote>
  <w:footnote w:id="15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Допускается только в Штабе ППЭ и только в связи со служебной необходимостью.</w:t>
      </w:r>
    </w:p>
  </w:footnote>
  <w:footnote w:id="16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rPr>
          <w:rFonts w:ascii="Times New Roman" w:hAnsi="Times New Roman"/>
          <w:sz w:val="20"/>
        </w:rPr>
        <w:t>В случае если ЭМ доставляются членом ГЭК в день проведения экзамена по соответствующему учебному предмету на бумажных носителях, упакованных в специальные пакеты.</w:t>
      </w:r>
    </w:p>
  </w:footnote>
  <w:footnote w:id="17">
    <w:p>
      <w:pPr>
        <w:pStyle w:val="Normal"/>
        <w:spacing w:lineRule="auto" w:line="240" w:before="0" w:after="0"/>
        <w:ind w:firstLine="708" w:left="112" w:right="0"/>
        <w:contextualSpacing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задания.</w:t>
      </w:r>
    </w:p>
  </w:footnote>
  <w:footnote w:id="18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Участникам ГВЭ – глухим, слабослышащим, позднооглохшим и кохлеарно-имплантированным, участникам ГВЭ с расстройствами аутистического спектра – необходимо раздать в напечатанном виде.</w:t>
      </w:r>
    </w:p>
  </w:footnote>
  <w:footnote w:id="19">
    <w:p>
      <w:pPr>
        <w:pStyle w:val="Normal"/>
        <w:spacing w:lineRule="auto" w:line="240" w:before="0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 случае если ЭМ доставляются членом ГЭК в день проведения экзамена по соответствующему учебному предмету на бумажных носителях, упакованных в специальные пакеты.</w:t>
      </w:r>
    </w:p>
  </w:footnote>
  <w:footnote w:id="20">
    <w:p>
      <w:pPr>
        <w:pStyle w:val="Normal"/>
        <w:spacing w:lineRule="auto" w:line="240" w:before="0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Предварительно следует заполнить отдельные пропуски по тексту указанной инструкции (например, плановая дата ознакомления с результатами и др.).</w:t>
      </w:r>
    </w:p>
  </w:footnote>
  <w:footnote w:id="21">
    <w:p>
      <w:pPr>
        <w:pStyle w:val="Normal"/>
        <w:spacing w:lineRule="auto" w:line="276" w:before="0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Присутствуют в ППЭ только до момента вскрытия участниками ГИА ЭМ, в которые входят бланки и КИМ, или до момента начала печати ЭМ.</w:t>
      </w:r>
    </w:p>
  </w:footnote>
  <w:footnote w:id="22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Присутствуют в день экзамена в помещении, которое организуется до входа в ППЭ.</w:t>
      </w:r>
    </w:p>
  </w:footnote>
  <w:footnote w:id="23">
    <w:p>
      <w:pPr>
        <w:pStyle w:val="Normal"/>
        <w:spacing w:lineRule="auto" w:line="240" w:before="0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Член ГЭК фиксирует данный факт для дальнейшего принятия решения.</w:t>
      </w:r>
    </w:p>
  </w:footnote>
  <w:footnote w:id="24">
    <w:p>
      <w:pPr>
        <w:pStyle w:val="Normal"/>
        <w:spacing w:lineRule="auto" w:line="240" w:before="0" w:after="0"/>
        <w:ind w:firstLine="708" w:left="112" w:right="126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Средства связи, фото-, аудио- и видеоаппаратура, электронно-вычислительная техника,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предметам).</w:t>
      </w:r>
    </w:p>
  </w:footnote>
  <w:footnote w:id="25">
    <w:p>
      <w:pPr>
        <w:pStyle w:val="Normal"/>
        <w:spacing w:lineRule="auto" w:line="240" w:before="0" w:after="0"/>
        <w:ind w:firstLine="708" w:left="112" w:right="122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Указанный акт подписывают член ГЭК и участник ГВЭ, отказавшийся от сдачи запрещенного средства. Акт составляется в двух экземплярах в свободной форме. Первый экземпляр член ГЭК оставляет у себя для передачи председателю ГЭК, второй передает участнику ГВЭ. Повторно к участию в ГВЭ по данному учебному предмету в резервные сроки указанный участник ГВЭ может быть допущен только по решению председателя ГЭК.</w:t>
      </w:r>
    </w:p>
  </w:footnote>
  <w:footnote w:id="26">
    <w:p>
      <w:pPr>
        <w:pStyle w:val="Normal"/>
        <w:spacing w:lineRule="auto" w:line="240" w:before="0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Экзамены начинаются в 10.00 по местному времени.</w:t>
      </w:r>
    </w:p>
  </w:footnote>
  <w:footnote w:id="27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задания.</w:t>
      </w:r>
    </w:p>
  </w:footnote>
  <w:footnote w:id="28">
    <w:p>
      <w:pPr>
        <w:pStyle w:val="Normal"/>
        <w:spacing w:lineRule="exact" w:line="252" w:before="17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За исключением ППЭ, организованных в труднодоступных и отдаленных местностях, а также в учреждениях уголовно-исполнительной системы.</w:t>
      </w:r>
    </w:p>
  </w:footnote>
  <w:footnote w:id="29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Организаторы в аудитории, покинувшие ППЭ в день проведения экзамена, повторно в ППЭ в указанный день не допускаются.</w:t>
      </w:r>
    </w:p>
  </w:footnote>
  <w:footnote w:id="30">
    <w:p>
      <w:pPr>
        <w:pStyle w:val="Normal"/>
        <w:spacing w:lineRule="auto" w:line="240"/>
        <w:ind w:firstLine="709" w:left="14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Участникам ГВЭ - глухим, слабослышащим, позднооглохшим и кохлеарно имплантированным, участникам ГВЭ с расстройствами аутистического спектра – необходимо раздать в напечатанном виде.</w:t>
      </w:r>
    </w:p>
  </w:footnote>
  <w:footnote w:id="31">
    <w:p>
      <w:pPr>
        <w:pStyle w:val="Normal"/>
        <w:spacing w:lineRule="auto" w:line="240" w:before="0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 случае если ЭМ доставляются членом ГЭК в день проведения экзамена по соответствующему учебному предмету на бумажных носителях, упакованных в специальные пакеты.</w:t>
      </w:r>
    </w:p>
  </w:footnote>
  <w:footnote w:id="32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Предварительно следует заполнить отдельные пропуски по тексту указанной инструкции (например, плановая дата ознакомления с результатами и др.).</w:t>
      </w:r>
    </w:p>
  </w:footnote>
  <w:footnote w:id="33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Оформление на доске регистрационных полей бланка регистрации участника ГВЭ может быть осуществлено за день до проведения экзамена.</w:t>
      </w:r>
    </w:p>
  </w:footnote>
  <w:footnote w:id="34">
    <w:p>
      <w:pPr>
        <w:pStyle w:val="Normal"/>
        <w:spacing w:lineRule="exact" w:line="252" w:before="17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 продолжительность ГИА по учебным предметам, устанавливаемую едиными расписаниями проведения ОГЭ, ГВЭ, не включается время, выделенное на инструктаж участников ГИА.</w:t>
      </w:r>
    </w:p>
  </w:footnote>
  <w:footnote w:id="35">
    <w:p>
      <w:pPr>
        <w:pStyle w:val="Normal"/>
        <w:spacing w:lineRule="exact" w:line="252" w:before="17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Предварительно следует заполнить отдельные пропуски по тексту указанной инструкции (например, плановая дата ознакомления с результатами и др.).</w:t>
      </w:r>
    </w:p>
  </w:footnote>
  <w:footnote w:id="36"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Бланк ответов при проведении ГВЭ в устной форме необходим для полноценной обработки всего комплекта бланков ГВЭ.</w:t>
      </w:r>
    </w:p>
  </w:footnote>
  <w:footnote w:id="37">
    <w:p>
      <w:pPr>
        <w:pStyle w:val="Normal"/>
        <w:spacing w:lineRule="auto" w:line="240" w:before="0" w:after="0"/>
        <w:ind w:firstLine="708" w:left="142" w:right="288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 случае если участник ГВЭ с ОВЗ, участник ГВЭ-ребенок – инвалид и инвалид не в состоянии по состоянию здоровья поставить свою подпись, подпись ставится ассистентом указанного участника ГВЭ либо ответственным организатором в аудитории.</w:t>
      </w:r>
    </w:p>
  </w:footnote>
  <w:footnote w:id="38">
    <w:p>
      <w:pPr>
        <w:pStyle w:val="Normal"/>
        <w:spacing w:lineRule="auto" w:line="240" w:before="0" w:after="0"/>
        <w:ind w:firstLine="708" w:left="142" w:right="286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 продолжительность ГВЭ по учебным предметам не включается время переноса ассистентом ответов участников ГВЭ с ОВЗ, участников ГВЭ – детей-инвалидов и инвалидов в бланки.</w:t>
      </w:r>
    </w:p>
  </w:footnote>
  <w:footnote w:id="39">
    <w:p>
      <w:pPr>
        <w:pStyle w:val="Normal"/>
        <w:spacing w:lineRule="auto" w:line="240" w:before="17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Словари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 Пользоваться личными словарями участникам ГВЭ не рекомендуется в целях недопущения нарушения Порядка в части использования справочных материалов, письменных заметок и др.</w:t>
      </w:r>
    </w:p>
  </w:footnote>
  <w:footnote w:id="40">
    <w:p>
      <w:pPr>
        <w:pStyle w:val="Normal"/>
        <w:spacing w:lineRule="exact" w:line="252" w:before="17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Входит в состав КИМ ГВЭ.</w:t>
      </w:r>
    </w:p>
  </w:footnote>
  <w:footnote w:id="41">
    <w:p>
      <w:pPr>
        <w:pStyle w:val="Normal"/>
        <w:spacing w:lineRule="auto" w:line="240" w:before="17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Экзамены начинаются в 10.00 по местному времени.</w:t>
      </w:r>
    </w:p>
  </w:footnote>
  <w:footnote w:id="42">
    <w:p>
      <w:pPr>
        <w:pStyle w:val="Normal"/>
        <w:spacing w:lineRule="auto" w:line="240" w:before="17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Выявленные факты технического сбоя оборудования, низкого качества аудиозаписи ответов участников экзамена, утери аудиозаписи ответов участников экзамена оформляются соответствующим актом в присутствии технического специалиста, ответственного организатора в аудитории, члена ГЭК.</w:t>
      </w:r>
    </w:p>
  </w:footnote>
  <w:footnote w:id="43">
    <w:p>
      <w:pPr>
        <w:pStyle w:val="Normal"/>
        <w:spacing w:lineRule="auto" w:line="240" w:before="17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 случае если участник ГВЭ по состоянию здоровья или другим объективным причинам не может завершить выполнение экзаменационной работы, он досрочно покидает ППЭ. При этом организаторы сопровождают участника ГВЭ к медицинскому работнику и приглашают члена ГЭК. При согласии участника ГВЭ досрочно завершить экзамен член ГЭК и медицинский работник составляют акт о досрочном завершении экзамена по объективным причинам.</w:t>
      </w:r>
    </w:p>
  </w:footnote>
  <w:footnote w:id="44">
    <w:p>
      <w:pPr>
        <w:pStyle w:val="Normal"/>
        <w:spacing w:lineRule="auto" w:line="240" w:before="42" w:after="0"/>
        <w:ind w:firstLine="709" w:left="142" w:right="0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Информация для заполнения полей верхней части ДБО («Код  региона», «Код  предмета», «Название предмета», «Номер варианта» и «Код работы») должна полностью соответствовать информации бланка регистрации. В поле «Лист №» при выдаче ДБО организатор в аудитории вносит порядковый номер листа работы участника ГВЭ (при этом листом № 1 является основной бланк ответов, который участник ГВЭ получил в составе индивидуального комплекта). Поле «Резерв-5» не заполняется. Ответы, внесенные в каждый следующий ДБО, оцениваются только в случае полностью заполненного предыдущего ДБО. </w:t>
      </w:r>
    </w:p>
  </w:footnote>
  <w:footnote w:id="45">
    <w:p>
      <w:pPr>
        <w:pStyle w:val="Normal"/>
        <w:spacing w:lineRule="auto" w:line="240" w:before="17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Апелляция может быть подана участником ГВЭ только до момента выхода из ППЭ.</w:t>
      </w:r>
    </w:p>
  </w:footnote>
  <w:footnote w:id="46">
    <w:p>
      <w:pPr>
        <w:pStyle w:val="Normal"/>
        <w:spacing w:lineRule="auto" w:line="240" w:before="17" w:after="0"/>
        <w:ind w:firstLine="708" w:left="112" w:right="124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 случае если участник ГВЭ с ОВЗ, участник ГВЭ-ребенок – инвалид и инвалид не в состоянии  по состоянию здоровья поставить свою подпись, подпись ставится ассистентом указанного участника ГВЭ либо ответственным организатором в аудитории.</w:t>
      </w:r>
    </w:p>
  </w:footnote>
  <w:footnote w:id="47">
    <w:p>
      <w:pPr>
        <w:pStyle w:val="Normal"/>
        <w:spacing w:lineRule="auto" w:line="240" w:before="40" w:after="0"/>
        <w:ind w:firstLine="710" w:left="112" w:right="12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Как правило, данный знак «Z» свидетельствует о завершении выполнения участником ГВЭ заданий КИМ, ответы на которые оформляются на бланках ответов, ДБО (при их использовании участником ГВЭ), а также свидетельствует о том, что данный участник ГВЭ свою экзаменационную работу завершил, и более не будет возвращаться к оформлению своих ответов на соответствующих бланках (продолжению оформления ответов на соответствующих бланках). Указанный знак проставляется на последнем листе соответствующего бланка (т.е. знак «Z» ставится только на последнем бланке в конце всей работы).</w:t>
      </w:r>
    </w:p>
  </w:footnote>
  <w:footnote w:id="48">
    <w:p>
      <w:pPr>
        <w:pStyle w:val="Normal"/>
        <w:spacing w:lineRule="auto" w:line="240" w:before="0" w:after="0"/>
        <w:ind w:firstLine="709" w:left="14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 случае если участник ГВЭ с ОВЗ, участник ГВЭ-ребенок – инвалид и инвалид не в состоянии по состоянию здоровья поставить свою подпись, подпись ставится ассистентом указанного участника ГВЭ либо ответственным организатором в аудитории.</w:t>
      </w:r>
    </w:p>
  </w:footnote>
  <w:footnote w:id="49">
    <w:p>
      <w:pPr>
        <w:pStyle w:val="Normal"/>
        <w:spacing w:lineRule="auto" w:line="240" w:before="0" w:after="0"/>
        <w:ind w:firstLine="709" w:left="14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Ассистент переносит ответы на задания КИМ, выполненные слабовидящими участниками ГВЭ в бланках увеличенного размера (ДБО увеличенного размера), черновиках, а также ответов на задания КИМ, выполненных участниками ГВЭ на компьютере, в бланки, а также в ДБО (при необходимости).</w:t>
      </w:r>
    </w:p>
  </w:footnote>
  <w:footnote w:id="50">
    <w:p>
      <w:pPr>
        <w:pStyle w:val="Normal"/>
        <w:spacing w:lineRule="auto" w:line="240" w:before="17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задания.</w:t>
      </w:r>
    </w:p>
  </w:footnote>
  <w:footnote w:id="51">
    <w:p>
      <w:pPr>
        <w:pStyle w:val="Normal"/>
        <w:spacing w:lineRule="auto" w:line="240" w:before="17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За исключением ППЭ, организованных в труднодоступных и отдаленных местностях, а также в учреждениях уголовно-исполнительной системы.</w:t>
      </w:r>
    </w:p>
  </w:footnote>
  <w:footnote w:id="52">
    <w:p>
      <w:pPr>
        <w:pStyle w:val="Normal"/>
        <w:spacing w:lineRule="exact" w:line="252" w:before="17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Работники ППЭ, общественные наблюдатели, а также участники ГВЭ, покинувшие ППЭ в день проведения экзамена, повторно в ППЭ в указанный день не допускаются.</w:t>
      </w:r>
    </w:p>
  </w:footnote>
  <w:footnote w:id="53">
    <w:p>
      <w:pPr>
        <w:pStyle w:val="Normal"/>
        <w:spacing w:lineRule="exact" w:line="252" w:before="17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Допускается только в Штабе ППЭ и только в связи со служебной необходимостью.</w:t>
      </w:r>
    </w:p>
  </w:footnote>
  <w:footnote w:id="54">
    <w:p>
      <w:pPr>
        <w:pStyle w:val="Normal"/>
        <w:spacing w:lineRule="auto" w:line="240" w:before="17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 случае если во время записи устных ответов произошел технический сбой, участнику ГВЭ по его выбору предоставляется право выполнить задания, предусматривающие устные ответы, в тот же день или выполнить задания, предусматривающие устные ответы, в резервные сроки.</w:t>
      </w:r>
    </w:p>
  </w:footnote>
  <w:footnote w:id="55">
    <w:p>
      <w:pPr>
        <w:pStyle w:val="Normal"/>
        <w:spacing w:lineRule="auto" w:line="240" w:before="0" w:after="0"/>
        <w:ind w:firstLine="708" w:left="112" w:right="119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Сканированные изображения экзаменационных работ, файлы, содержащие ответы участников ГВЭ на задания КИМ (при наличии) (при проведении ГВЭ в устной форме), передаются в РЦОИ для последующей обработки сразу по завершении сканирования экзаменационных работ из всех аудиторий.</w:t>
      </w:r>
    </w:p>
    <w:p>
      <w:pPr>
        <w:pStyle w:val="Normal"/>
        <w:spacing w:lineRule="auto" w:line="240" w:before="0" w:after="0"/>
        <w:ind w:firstLine="708" w:left="112" w:right="0"/>
        <w:contextualSpacing/>
        <w:jc w:val="both"/>
        <w:rPr/>
      </w:pPr>
      <w:r>
        <w:rPr/>
      </w:r>
    </w:p>
  </w:footnote>
  <w:footnote w:id="56">
    <w:p>
      <w:pPr>
        <w:pStyle w:val="Normal"/>
        <w:spacing w:lineRule="auto" w:line="240" w:before="6" w:after="0"/>
        <w:ind w:firstLine="708" w:left="112" w:right="119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Участникам ГВЭ – глухим, слабослышащим, позднооглохшим и кохлеарно имплантированным, участникам ГВЭ с расстройствами аутистического спектра необходимо раздать в напечатанном виде, предварительно заполнив отдельные пропуски по тексту указанной инструкции (например, плановая дата ознакомления с результатами и др.).</w:t>
      </w:r>
    </w:p>
  </w:footnote>
  <w:footnote w:id="57">
    <w:p>
      <w:pPr>
        <w:pStyle w:val="Normal"/>
        <w:spacing w:lineRule="auto" w:line="240" w:before="17" w:after="0"/>
        <w:ind w:firstLine="708" w:left="112" w:right="0"/>
        <w:contextualSpacing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Словари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 Пользоваться личными словарями участникам ГВЭ не рекомендуется в целях недопущения нарушения Порядка в части использования справочных материалов, письменных заметок и др.</w:t>
      </w:r>
    </w:p>
  </w:footnote>
  <w:footnote w:id="58">
    <w:p>
      <w:pPr>
        <w:pStyle w:val="Normal"/>
        <w:spacing w:lineRule="auto" w:line="240" w:before="17" w:after="0"/>
        <w:ind w:firstLine="708" w:left="112" w:right="0"/>
        <w:jc w:val="both"/>
        <w:rPr/>
      </w:pPr>
      <w:r>
        <w:rPr>
          <w:rStyle w:val="Style8"/>
        </w:rPr>
        <w:footnoteRef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Входит в состав КИМ ГВЭ.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152">
              <wp:simplePos x="0" y="0"/>
              <wp:positionH relativeFrom="column">
                <wp:posOffset>2990850</wp:posOffset>
              </wp:positionH>
              <wp:positionV relativeFrom="paragraph">
                <wp:posOffset>109220</wp:posOffset>
              </wp:positionV>
              <wp:extent cx="652145" cy="217805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2320" cy="217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sz w:val="30"/>
                              <w:szCs w:val="30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sz w:val="30"/>
                              <w:szCs w:val="30"/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sz w:val="30"/>
                              <w:szCs w:val="30"/>
                              <w:rFonts w:ascii="Times New Roman" w:hAnsi="Times New Roman"/>
                            </w:rPr>
                            <w:t>190</w:t>
                          </w:r>
                          <w:r>
                            <w:rPr>
                              <w:sz w:val="30"/>
                              <w:szCs w:val="30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5.5pt;margin-top:8.6pt;width:51.3pt;height:17.1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Normal"/>
                      <w:rPr>
                        <w:rFonts w:ascii="Times New Roman" w:hAnsi="Times New Roman"/>
                        <w:sz w:val="30"/>
                        <w:szCs w:val="30"/>
                      </w:rPr>
                    </w:pP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sz w:val="30"/>
                        <w:szCs w:val="30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sz w:val="30"/>
                        <w:szCs w:val="30"/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sz w:val="30"/>
                        <w:szCs w:val="30"/>
                        <w:rFonts w:ascii="Times New Roman" w:hAnsi="Times New Roman"/>
                      </w:rPr>
                      <w:t>190</w:t>
                    </w:r>
                    <w:r>
                      <w:rPr>
                        <w:sz w:val="30"/>
                        <w:szCs w:val="30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Normal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  <w:p>
    <w:pPr>
      <w:pStyle w:val="Normal"/>
      <w:rPr/>
    </w:pPr>
    <w:r>
      <w:rPr/>
      <mc:AlternateContent>
        <mc:Choice Requires="wps">
          <w:drawing>
            <wp:anchor behindDoc="1" distT="0" distB="0" distL="0" distR="635" simplePos="0" locked="0" layoutInCell="0" allowOverlap="1" relativeHeight="115">
              <wp:simplePos x="0" y="0"/>
              <wp:positionH relativeFrom="margin">
                <wp:align>center</wp:align>
              </wp:positionH>
              <wp:positionV relativeFrom="paragraph">
                <wp:posOffset>1270</wp:posOffset>
              </wp:positionV>
              <wp:extent cx="548640" cy="203200"/>
              <wp:effectExtent l="0" t="0" r="0" b="0"/>
              <wp:wrapSquare wrapText="bothSides"/>
              <wp:docPr id="3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8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sz w:val="28"/>
                              <w:szCs w:val="28"/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rFonts w:ascii="Times New Roman" w:hAnsi="Times New Roman"/>
                            </w:rPr>
                            <w:t>189</w:t>
                          </w:r>
                          <w:r>
                            <w:rPr>
                              <w:sz w:val="28"/>
                              <w:szCs w:val="28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239.5pt;margin-top:0.1pt;width:43.15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Normal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sz w:val="28"/>
                        <w:szCs w:val="28"/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rFonts w:ascii="Times New Roman" w:hAnsi="Times New Roman"/>
                      </w:rPr>
                      <w:t>189</w:t>
                    </w:r>
                    <w:r>
                      <w:rPr>
                        <w:sz w:val="28"/>
                        <w:szCs w:val="28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  <w:p>
    <w:pPr>
      <w:pStyle w:val="Normal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rFonts w:ascii="Times New Roman" w:hAnsi="Times New Roman"/>
        <w:color w:val="000000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rFonts w:ascii="Times New Roman" w:hAnsi="Times New Roman"/>
        <w:color w:val="000000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rFonts w:ascii="Times New Roman" w:hAnsi="Times New Roman"/>
        <w:color w:val="000000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rFonts w:ascii="Times New Roman" w:hAnsi="Times New Roman"/>
        <w:color w:val="000000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decimal"/>
      <w:lvlText w:val="2.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112" w:hanging="291"/>
      </w:pPr>
      <w:rPr>
        <w:sz w:val="28"/>
        <w:b/>
        <w:rFonts w:ascii="Times New Roman" w:hAnsi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152" w:hanging="29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85" w:hanging="29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17" w:hanging="29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50" w:hanging="29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283" w:hanging="29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5" w:hanging="29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48" w:hanging="29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81" w:hanging="291"/>
      </w:pPr>
      <w:rPr>
        <w:rFonts w:ascii="Symbol" w:hAnsi="Symbol" w:cs="Symbol" w:hint="default"/>
      </w:rPr>
    </w:lvl>
  </w:abstractNum>
  <w:abstractNum w:abstractNumId="7"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11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80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9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5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20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14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9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5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20" w:hanging="180"/>
      </w:pPr>
      <w:rPr/>
    </w:lvl>
  </w:abstractNum>
  <w:abstractNum w:abstractNumId="11">
    <w:lvl w:ilvl="0">
      <w:start w:val="1"/>
      <w:numFmt w:val="decimal"/>
      <w:lvlText w:val="%1)"/>
      <w:lvlJc w:val="left"/>
      <w:pPr>
        <w:tabs>
          <w:tab w:val="num" w:pos="0"/>
        </w:tabs>
        <w:ind w:left="14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9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5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20" w:hanging="180"/>
      </w:pPr>
      <w:rPr/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0"/>
        </w:tabs>
        <w:ind w:left="112" w:hanging="291"/>
      </w:pPr>
      <w:rPr>
        <w:sz w:val="28"/>
        <w:b/>
        <w:rFonts w:ascii="Times New Roman" w:hAnsi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152" w:hanging="29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85" w:hanging="29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17" w:hanging="29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50" w:hanging="29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283" w:hanging="29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5" w:hanging="29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48" w:hanging="29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81" w:hanging="291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)"/>
      <w:lvlJc w:val="left"/>
      <w:pPr>
        <w:tabs>
          <w:tab w:val="num" w:pos="0"/>
        </w:tabs>
        <w:ind w:left="14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9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5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20" w:hanging="180"/>
      </w:pPr>
      <w:rPr/>
    </w:lvl>
  </w:abstractNum>
  <w:abstractNum w:abstractNumId="14">
    <w:lvl w:ilvl="0">
      <w:start w:val="1"/>
      <w:numFmt w:val="decimal"/>
      <w:lvlText w:val="%1)"/>
      <w:lvlJc w:val="left"/>
      <w:pPr>
        <w:tabs>
          <w:tab w:val="num" w:pos="0"/>
        </w:tabs>
        <w:ind w:left="14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9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5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20" w:hanging="180"/>
      </w:pPr>
      <w:rPr/>
    </w:lvl>
  </w:abstractNum>
  <w:abstractNum w:abstractNumId="15">
    <w:lvl w:ilvl="0">
      <w:start w:val="1"/>
      <w:numFmt w:val="decimal"/>
      <w:lvlText w:val="%1)"/>
      <w:lvlJc w:val="left"/>
      <w:pPr>
        <w:tabs>
          <w:tab w:val="num" w:pos="0"/>
        </w:tabs>
        <w:ind w:left="14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9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5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20" w:hanging="180"/>
      </w:pPr>
      <w:rPr/>
    </w:lvl>
  </w:abstractNum>
  <w:abstractNum w:abstractNumId="16">
    <w:lvl w:ilvl="0">
      <w:start w:val="1"/>
      <w:numFmt w:val="decimal"/>
      <w:lvlText w:val="%1)"/>
      <w:lvlJc w:val="left"/>
      <w:pPr>
        <w:tabs>
          <w:tab w:val="num" w:pos="0"/>
        </w:tabs>
        <w:ind w:left="14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9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5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20" w:hanging="180"/>
      </w:pPr>
      <w:rPr/>
    </w:lvl>
  </w:abstractNum>
  <w:abstractNum w:abstractNumId="17">
    <w:lvl w:ilvl="0">
      <w:start w:val="1"/>
      <w:numFmt w:val="decimal"/>
      <w:lvlText w:val="%1)"/>
      <w:lvlJc w:val="left"/>
      <w:pPr>
        <w:tabs>
          <w:tab w:val="num" w:pos="0"/>
        </w:tabs>
        <w:ind w:left="14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9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5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20" w:hanging="180"/>
      </w:pPr>
      <w:rPr/>
    </w:lvl>
  </w:abstractNum>
  <w:abstractNum w:abstractNumId="18">
    <w:lvl w:ilvl="0">
      <w:start w:val="1"/>
      <w:numFmt w:val="decimal"/>
      <w:lvlText w:val="%1)"/>
      <w:lvlJc w:val="left"/>
      <w:pPr>
        <w:tabs>
          <w:tab w:val="num" w:pos="0"/>
        </w:tabs>
        <w:ind w:left="14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9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5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20" w:hanging="180"/>
      </w:pPr>
      <w:rPr/>
    </w:lvl>
  </w:abstractNum>
  <w:abstractNum w:abstractNumId="19">
    <w:lvl w:ilvl="0">
      <w:start w:val="1"/>
      <w:numFmt w:val="decimal"/>
      <w:lvlText w:val="1.1.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decimal"/>
      <w:lvlText w:val="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rFonts w:ascii="Times New Roman" w:hAnsi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/>
        <w:rFonts w:ascii="Times New Roman" w:hAnsi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rFonts w:ascii="Times New Roman" w:hAnsi="Times New Roman"/>
        <w:color w:val="000000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1">
    <w:lvl w:ilvl="0">
      <w:start w:val="1"/>
      <w:numFmt w:val="decimal"/>
      <w:lvlText w:val="1.%1."/>
      <w:lvlJc w:val="left"/>
      <w:pPr>
        <w:tabs>
          <w:tab w:val="num" w:pos="0"/>
        </w:tabs>
        <w:ind w:left="2520" w:hanging="360"/>
      </w:pPr>
      <w:rPr/>
    </w:lvl>
    <w:lvl w:ilvl="1">
      <w:start w:val="1"/>
      <w:numFmt w:val="decimal"/>
      <w:lvlText w:val="1.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55"/>
  <w:defaultTabStop w:val="709"/>
  <w:autoHyphenation w:val="true"/>
  <w:evenAndOddHeaders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Tahoma" w:cs="Lohit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 Unicode MS" w:hAnsi="Arial Unicode MS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basedOn w:val="111"/>
    <w:next w:val="Normal"/>
    <w:uiPriority w:val="9"/>
    <w:qFormat/>
    <w:pPr>
      <w:numPr>
        <w:ilvl w:val="0"/>
        <w:numId w:val="20"/>
      </w:numPr>
      <w:tabs>
        <w:tab w:val="clear" w:pos="709"/>
        <w:tab w:val="left" w:pos="142" w:leader="none"/>
        <w:tab w:val="left" w:pos="284" w:leader="none"/>
      </w:tabs>
      <w:spacing w:lineRule="auto" w:line="228" w:before="260" w:after="260"/>
      <w:jc w:val="center"/>
      <w:outlineLvl w:val="0"/>
    </w:pPr>
    <w:rPr>
      <w:b/>
      <w:sz w:val="28"/>
    </w:rPr>
  </w:style>
  <w:style w:type="paragraph" w:styleId="Heading2">
    <w:name w:val="Heading 2"/>
    <w:basedOn w:val="111"/>
    <w:uiPriority w:val="9"/>
    <w:qFormat/>
    <w:pPr>
      <w:numPr>
        <w:ilvl w:val="1"/>
        <w:numId w:val="21"/>
      </w:numPr>
      <w:spacing w:before="0" w:after="200"/>
      <w:jc w:val="center"/>
      <w:outlineLvl w:val="1"/>
    </w:pPr>
    <w:rPr>
      <w:b/>
      <w:sz w:val="28"/>
    </w:rPr>
  </w:style>
  <w:style w:type="paragraph" w:styleId="Heading3">
    <w:name w:val="Heading 3"/>
    <w:basedOn w:val="ListParagraph1"/>
    <w:next w:val="Normal"/>
    <w:uiPriority w:val="9"/>
    <w:qFormat/>
    <w:pPr>
      <w:numPr>
        <w:ilvl w:val="0"/>
        <w:numId w:val="19"/>
      </w:numPr>
      <w:tabs>
        <w:tab w:val="clear" w:pos="709"/>
        <w:tab w:val="left" w:pos="567" w:leader="none"/>
      </w:tabs>
      <w:spacing w:lineRule="exact" w:line="297"/>
      <w:ind w:hanging="0" w:left="0"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uiPriority w:val="9"/>
    <w:qFormat/>
    <w:pPr>
      <w:keepNext w:val="true"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Heading5">
    <w:name w:val="Heading 5"/>
    <w:basedOn w:val="Normal"/>
    <w:next w:val="Normal"/>
    <w:uiPriority w:val="9"/>
    <w:qFormat/>
    <w:pPr>
      <w:keepNext w:val="true"/>
      <w:keepLines/>
      <w:spacing w:before="320" w:after="200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uiPriority w:val="9"/>
    <w:qFormat/>
    <w:pPr>
      <w:keepNext w:val="true"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Heading7">
    <w:name w:val="Heading 7"/>
    <w:basedOn w:val="Normal"/>
    <w:next w:val="Normal"/>
    <w:uiPriority w:val="9"/>
    <w:qFormat/>
    <w:pPr>
      <w:keepNext w:val="true"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Heading8">
    <w:name w:val="Heading 8"/>
    <w:basedOn w:val="Normal"/>
    <w:next w:val="Normal"/>
    <w:uiPriority w:val="9"/>
    <w:qFormat/>
    <w:pPr>
      <w:keepNext w:val="true"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Heading9">
    <w:name w:val="Heading 9"/>
    <w:basedOn w:val="Normal"/>
    <w:next w:val="Normal"/>
    <w:uiPriority w:val="9"/>
    <w:qFormat/>
    <w:pPr>
      <w:keepNext w:val="true"/>
      <w:keepLines/>
      <w:spacing w:before="320" w:after="200"/>
      <w:outlineLvl w:val="8"/>
    </w:pPr>
    <w:rPr>
      <w:rFonts w:ascii="Arial" w:hAnsi="Arial"/>
      <w:i/>
      <w:sz w:val="21"/>
    </w:rPr>
  </w:style>
  <w:style w:type="character" w:styleId="2">
    <w:name w:val="Колонтитул (2)"/>
    <w:link w:val="211"/>
    <w:qFormat/>
    <w:rPr>
      <w:rFonts w:ascii="Times New Roman" w:hAnsi="Times New Roman"/>
      <w:sz w:val="20"/>
    </w:rPr>
  </w:style>
  <w:style w:type="character" w:styleId="FooterChar">
    <w:name w:val="Footer Char"/>
    <w:basedOn w:val="DefaultParagraphFont"/>
    <w:link w:val="FooterChar1"/>
    <w:qFormat/>
    <w:rPr/>
  </w:style>
  <w:style w:type="character" w:styleId="Contents2">
    <w:name w:val="Contents 2"/>
    <w:qFormat/>
    <w:rPr/>
  </w:style>
  <w:style w:type="character" w:styleId="Contents4">
    <w:name w:val="Contents 4"/>
    <w:qFormat/>
    <w:rPr/>
  </w:style>
  <w:style w:type="character" w:styleId="Heading71">
    <w:name w:val="Heading 71"/>
    <w:qFormat/>
    <w:rPr>
      <w:rFonts w:ascii="Arial" w:hAnsi="Arial"/>
      <w:b/>
      <w:i/>
      <w:sz w:val="22"/>
    </w:rPr>
  </w:style>
  <w:style w:type="character" w:styleId="HeaderChar">
    <w:name w:val="Header Char"/>
    <w:basedOn w:val="DefaultParagraphFont"/>
    <w:link w:val="HeaderChar1"/>
    <w:qFormat/>
    <w:rPr/>
  </w:style>
  <w:style w:type="character" w:styleId="Caption1">
    <w:name w:val="caption1"/>
    <w:link w:val="Caption2"/>
    <w:qFormat/>
    <w:rPr>
      <w:b/>
      <w:color w:themeColor="accent1" w:val="5B9BD5"/>
      <w:sz w:val="18"/>
    </w:rPr>
  </w:style>
  <w:style w:type="character" w:styleId="Contents6">
    <w:name w:val="Contents 6"/>
    <w:qFormat/>
    <w:rPr/>
  </w:style>
  <w:style w:type="character" w:styleId="Heading6Char">
    <w:name w:val="Heading 6 Char"/>
    <w:basedOn w:val="DefaultParagraphFont"/>
    <w:link w:val="Heading6Char1"/>
    <w:qFormat/>
    <w:rPr>
      <w:rFonts w:ascii="Arial" w:hAnsi="Arial"/>
      <w:b/>
      <w:sz w:val="22"/>
    </w:rPr>
  </w:style>
  <w:style w:type="character" w:styleId="TitleChar">
    <w:name w:val="Title Char"/>
    <w:basedOn w:val="DefaultParagraphFont"/>
    <w:link w:val="TitleChar1"/>
    <w:qFormat/>
    <w:rPr>
      <w:sz w:val="48"/>
    </w:rPr>
  </w:style>
  <w:style w:type="character" w:styleId="Contents7">
    <w:name w:val="Contents 7"/>
    <w:qFormat/>
    <w:rPr/>
  </w:style>
  <w:style w:type="character" w:styleId="TableParagraph">
    <w:name w:val="Table Paragraph"/>
    <w:link w:val="TableParagraph1"/>
    <w:qFormat/>
    <w:rPr>
      <w:rFonts w:ascii="Times New Roman" w:hAnsi="Times New Roman"/>
      <w:color w:val="000000"/>
      <w:sz w:val="22"/>
    </w:rPr>
  </w:style>
  <w:style w:type="character" w:styleId="Heading5Char">
    <w:name w:val="Heading 5 Char"/>
    <w:basedOn w:val="DefaultParagraphFont"/>
    <w:link w:val="Heading5Char1"/>
    <w:qFormat/>
    <w:rPr>
      <w:rFonts w:ascii="Arial" w:hAnsi="Arial"/>
      <w:b/>
      <w:sz w:val="24"/>
    </w:rPr>
  </w:style>
  <w:style w:type="character" w:styleId="21">
    <w:name w:val="Заголовок №2"/>
    <w:link w:val="212"/>
    <w:qFormat/>
    <w:rPr>
      <w:rFonts w:ascii="Times New Roman" w:hAnsi="Times New Roman"/>
      <w:sz w:val="20"/>
    </w:rPr>
  </w:style>
  <w:style w:type="character" w:styleId="Style5">
    <w:name w:val="Колонтитул"/>
    <w:link w:val="12"/>
    <w:qFormat/>
    <w:rPr>
      <w:rFonts w:ascii="Times New Roman" w:hAnsi="Times New Roman"/>
      <w:sz w:val="26"/>
    </w:rPr>
  </w:style>
  <w:style w:type="character" w:styleId="Heading31">
    <w:name w:val="Heading 31"/>
    <w:basedOn w:val="ListParagraph"/>
    <w:qFormat/>
    <w:rPr>
      <w:b/>
      <w:sz w:val="28"/>
    </w:rPr>
  </w:style>
  <w:style w:type="character" w:styleId="Heading9Char">
    <w:name w:val="Heading 9 Char"/>
    <w:basedOn w:val="DefaultParagraphFont"/>
    <w:link w:val="Heading9Char1"/>
    <w:qFormat/>
    <w:rPr>
      <w:rFonts w:ascii="Arial" w:hAnsi="Arial"/>
      <w:i/>
      <w:sz w:val="21"/>
    </w:rPr>
  </w:style>
  <w:style w:type="character" w:styleId="Heading91">
    <w:name w:val="Heading 91"/>
    <w:qFormat/>
    <w:rPr>
      <w:rFonts w:ascii="Arial" w:hAnsi="Arial"/>
      <w:i/>
      <w:sz w:val="21"/>
    </w:rPr>
  </w:style>
  <w:style w:type="character" w:styleId="DefaultParagraphFont">
    <w:name w:val="Default Paragraph Font"/>
    <w:link w:val="DefaultParagraphFont1"/>
    <w:qFormat/>
    <w:rPr/>
  </w:style>
  <w:style w:type="character" w:styleId="Heading8Char">
    <w:name w:val="Heading 8 Char"/>
    <w:basedOn w:val="DefaultParagraphFont"/>
    <w:link w:val="Heading8Char1"/>
    <w:qFormat/>
    <w:rPr>
      <w:rFonts w:ascii="Arial" w:hAnsi="Arial"/>
      <w:i/>
      <w:sz w:val="22"/>
    </w:rPr>
  </w:style>
  <w:style w:type="character" w:styleId="Style6">
    <w:name w:val="Подпись к таблице"/>
    <w:link w:val="13"/>
    <w:qFormat/>
    <w:rPr>
      <w:rFonts w:ascii="Times New Roman" w:hAnsi="Times New Roman"/>
      <w:b/>
      <w:sz w:val="26"/>
    </w:rPr>
  </w:style>
  <w:style w:type="character" w:styleId="Style7">
    <w:name w:val="Сноска"/>
    <w:qFormat/>
    <w:rPr>
      <w:rFonts w:ascii="Times New Roman" w:hAnsi="Times New Roman"/>
      <w:sz w:val="20"/>
    </w:rPr>
  </w:style>
  <w:style w:type="character" w:styleId="Style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eading4Char">
    <w:name w:val="Heading 4 Char"/>
    <w:basedOn w:val="DefaultParagraphFont"/>
    <w:link w:val="Heading4Char1"/>
    <w:qFormat/>
    <w:rPr>
      <w:rFonts w:ascii="Arial" w:hAnsi="Arial"/>
      <w:b/>
      <w:sz w:val="26"/>
    </w:rPr>
  </w:style>
  <w:style w:type="character" w:styleId="EndnoteTextChar">
    <w:name w:val="Endnote Text Char"/>
    <w:link w:val="EndnoteTextChar1"/>
    <w:qFormat/>
    <w:rPr>
      <w:sz w:val="20"/>
    </w:rPr>
  </w:style>
  <w:style w:type="character" w:styleId="Heading2Char">
    <w:name w:val="Heading 2 Char"/>
    <w:basedOn w:val="DefaultParagraphFont"/>
    <w:link w:val="Heading2Char1"/>
    <w:qFormat/>
    <w:rPr>
      <w:rFonts w:ascii="Arial" w:hAnsi="Arial"/>
      <w:sz w:val="34"/>
    </w:rPr>
  </w:style>
  <w:style w:type="character" w:styleId="Contents3">
    <w:name w:val="Contents 3"/>
    <w:qFormat/>
    <w:rPr/>
  </w:style>
  <w:style w:type="character" w:styleId="BalloonText">
    <w:name w:val="Balloon Text"/>
    <w:link w:val="BalloonText1"/>
    <w:qFormat/>
    <w:rPr>
      <w:rFonts w:ascii="Segoe UI" w:hAnsi="Segoe UI"/>
      <w:sz w:val="18"/>
    </w:rPr>
  </w:style>
  <w:style w:type="character" w:styleId="Style9">
    <w:name w:val="Другое"/>
    <w:link w:val="14"/>
    <w:qFormat/>
    <w:rPr>
      <w:rFonts w:ascii="Times New Roman" w:hAnsi="Times New Roman"/>
      <w:sz w:val="26"/>
    </w:rPr>
  </w:style>
  <w:style w:type="character" w:styleId="Header1">
    <w:name w:val="Header1"/>
    <w:qFormat/>
    <w:rPr/>
  </w:style>
  <w:style w:type="character" w:styleId="SubtitleChar">
    <w:name w:val="Subtitle Char"/>
    <w:basedOn w:val="DefaultParagraphFont"/>
    <w:link w:val="SubtitleChar1"/>
    <w:qFormat/>
    <w:rPr>
      <w:sz w:val="24"/>
    </w:rPr>
  </w:style>
  <w:style w:type="character" w:styleId="Heading1Char">
    <w:name w:val="Heading 1 Char"/>
    <w:basedOn w:val="DefaultParagraphFont"/>
    <w:link w:val="Heading1Char1"/>
    <w:qFormat/>
    <w:rPr>
      <w:rFonts w:ascii="Arial" w:hAnsi="Arial"/>
      <w:sz w:val="40"/>
    </w:rPr>
  </w:style>
  <w:style w:type="character" w:styleId="NoSpacing">
    <w:name w:val="No Spacing"/>
    <w:link w:val="NoSpacing1"/>
    <w:qFormat/>
    <w:rPr/>
  </w:style>
  <w:style w:type="character" w:styleId="6">
    <w:name w:val="Основной текст (6)"/>
    <w:link w:val="61"/>
    <w:qFormat/>
    <w:rPr>
      <w:rFonts w:ascii="Times New Roman" w:hAnsi="Times New Roman"/>
      <w:i/>
      <w:sz w:val="16"/>
    </w:rPr>
  </w:style>
  <w:style w:type="character" w:styleId="Heading51">
    <w:name w:val="Heading 51"/>
    <w:qFormat/>
    <w:rPr>
      <w:rFonts w:ascii="Arial" w:hAnsi="Arial"/>
      <w:b/>
    </w:rPr>
  </w:style>
  <w:style w:type="character" w:styleId="Footer1">
    <w:name w:val="Footer1"/>
    <w:qFormat/>
    <w:rPr/>
  </w:style>
  <w:style w:type="character" w:styleId="FootnoteTextChar">
    <w:name w:val="Footnote Text Char"/>
    <w:link w:val="FootnoteTextChar1"/>
    <w:qFormat/>
    <w:rPr>
      <w:sz w:val="18"/>
    </w:rPr>
  </w:style>
  <w:style w:type="character" w:styleId="Heading11">
    <w:name w:val="Heading 11"/>
    <w:basedOn w:val="1"/>
    <w:qFormat/>
    <w:rPr>
      <w:b/>
      <w:sz w:val="28"/>
    </w:rPr>
  </w:style>
  <w:style w:type="character" w:styleId="Endnote">
    <w:name w:val="Endnote"/>
    <w:qFormat/>
    <w:rPr>
      <w:sz w:val="20"/>
    </w:rPr>
  </w:style>
  <w:style w:type="character" w:styleId="1">
    <w:name w:val="Основной текст1"/>
    <w:link w:val="111"/>
    <w:qFormat/>
    <w:rPr>
      <w:rFonts w:ascii="Times New Roman" w:hAnsi="Times New Roman"/>
      <w:sz w:val="26"/>
    </w:rPr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Footnote">
    <w:name w:val="Footnote"/>
    <w:link w:val="Footnote1"/>
    <w:qFormat/>
    <w:rPr>
      <w:sz w:val="20"/>
    </w:rPr>
  </w:style>
  <w:style w:type="character" w:styleId="Heading81">
    <w:name w:val="Heading 81"/>
    <w:qFormat/>
    <w:rPr>
      <w:rFonts w:ascii="Arial" w:hAnsi="Arial"/>
      <w:i/>
      <w:sz w:val="22"/>
    </w:rPr>
  </w:style>
  <w:style w:type="character" w:styleId="QuoteChar">
    <w:name w:val="Quote Char"/>
    <w:link w:val="QuoteChar1"/>
    <w:qFormat/>
    <w:rPr>
      <w:i/>
    </w:rPr>
  </w:style>
  <w:style w:type="character" w:styleId="Contents1">
    <w:name w:val="Contents 1"/>
    <w:qFormat/>
    <w:rPr/>
  </w:style>
  <w:style w:type="character" w:styleId="Annotationsubject">
    <w:name w:val="annotation subject"/>
    <w:basedOn w:val="Annotationtext"/>
    <w:link w:val="Annotationsubject1"/>
    <w:qFormat/>
    <w:rPr>
      <w:b/>
    </w:rPr>
  </w:style>
  <w:style w:type="character" w:styleId="Textbody">
    <w:name w:val="Text body"/>
    <w:qFormat/>
    <w:rPr>
      <w:rFonts w:ascii="Times New Roman" w:hAnsi="Times New Roman"/>
      <w:color w:val="000000"/>
      <w:sz w:val="26"/>
    </w:rPr>
  </w:style>
  <w:style w:type="character" w:styleId="Quote">
    <w:name w:val="Quote"/>
    <w:link w:val="Quote1"/>
    <w:qFormat/>
    <w:rPr>
      <w:i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ListParagraph">
    <w:name w:val="List Paragraph"/>
    <w:link w:val="ListParagraph1"/>
    <w:qFormat/>
    <w:rPr>
      <w:rFonts w:ascii="Times New Roman" w:hAnsi="Times New Roman"/>
      <w:color w:val="000000"/>
      <w:sz w:val="22"/>
    </w:rPr>
  </w:style>
  <w:style w:type="character" w:styleId="Contents9">
    <w:name w:val="Contents 9"/>
    <w:qFormat/>
    <w:rPr/>
  </w:style>
  <w:style w:type="character" w:styleId="Annotationtext">
    <w:name w:val="annotation text"/>
    <w:link w:val="Annotationtext1"/>
    <w:qFormat/>
    <w:rPr>
      <w:sz w:val="20"/>
    </w:rPr>
  </w:style>
  <w:style w:type="character" w:styleId="IntenseQuoteChar">
    <w:name w:val="Intense Quote Char"/>
    <w:link w:val="IntenseQuoteChar1"/>
    <w:qFormat/>
    <w:rPr>
      <w:i/>
    </w:rPr>
  </w:style>
  <w:style w:type="character" w:styleId="Contents8">
    <w:name w:val="Contents 8"/>
    <w:qFormat/>
    <w:rPr/>
  </w:style>
  <w:style w:type="character" w:styleId="IntenseQuote">
    <w:name w:val="Intense Quote"/>
    <w:link w:val="IntenseQuote1"/>
    <w:qFormat/>
    <w:rPr>
      <w:i/>
    </w:rPr>
  </w:style>
  <w:style w:type="character" w:styleId="Style10">
    <w:name w:val="Оглавление"/>
    <w:link w:val="15"/>
    <w:qFormat/>
    <w:rPr>
      <w:rFonts w:ascii="Times New Roman" w:hAnsi="Times New Roman"/>
      <w:sz w:val="26"/>
    </w:rPr>
  </w:style>
  <w:style w:type="character" w:styleId="Style1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1">
    <w:name w:val="Заголовок №1"/>
    <w:link w:val="112"/>
    <w:qFormat/>
    <w:rPr>
      <w:rFonts w:ascii="Times New Roman" w:hAnsi="Times New Roman"/>
      <w:b/>
      <w:sz w:val="26"/>
    </w:rPr>
  </w:style>
  <w:style w:type="character" w:styleId="Contents5">
    <w:name w:val="Contents 5"/>
    <w:qFormat/>
    <w:rPr/>
  </w:style>
  <w:style w:type="character" w:styleId="CaptionChar">
    <w:name w:val="Caption Char"/>
    <w:basedOn w:val="DefaultParagraphFont"/>
    <w:link w:val="CaptionChar1"/>
    <w:qFormat/>
    <w:rPr>
      <w:b/>
      <w:color w:themeColor="accent1" w:val="5B9BD5"/>
      <w:sz w:val="18"/>
    </w:rPr>
  </w:style>
  <w:style w:type="character" w:styleId="Heading7Char">
    <w:name w:val="Heading 7 Char"/>
    <w:basedOn w:val="DefaultParagraphFont"/>
    <w:link w:val="Heading7Char1"/>
    <w:qFormat/>
    <w:rPr>
      <w:rFonts w:ascii="Arial" w:hAnsi="Arial"/>
      <w:b/>
      <w:i/>
      <w:sz w:val="22"/>
    </w:rPr>
  </w:style>
  <w:style w:type="character" w:styleId="Annotationreference">
    <w:name w:val="annotation reference"/>
    <w:basedOn w:val="DefaultParagraphFont"/>
    <w:link w:val="Annotationreference1"/>
    <w:qFormat/>
    <w:rPr>
      <w:sz w:val="16"/>
    </w:rPr>
  </w:style>
  <w:style w:type="character" w:styleId="Subtitle1">
    <w:name w:val="Subtitle1"/>
    <w:qFormat/>
    <w:rPr/>
  </w:style>
  <w:style w:type="character" w:styleId="Heading3Char">
    <w:name w:val="Heading 3 Char"/>
    <w:basedOn w:val="DefaultParagraphFont"/>
    <w:link w:val="Heading3Char1"/>
    <w:qFormat/>
    <w:rPr>
      <w:rFonts w:ascii="Arial" w:hAnsi="Arial"/>
      <w:sz w:val="30"/>
    </w:rPr>
  </w:style>
  <w:style w:type="character" w:styleId="ContentsHeading">
    <w:name w:val="Contents Heading"/>
    <w:basedOn w:val="Heading11"/>
    <w:qFormat/>
    <w:rPr/>
  </w:style>
  <w:style w:type="character" w:styleId="22">
    <w:name w:val="Основной текст (2)"/>
    <w:link w:val="213"/>
    <w:qFormat/>
    <w:rPr>
      <w:rFonts w:ascii="Times New Roman" w:hAnsi="Times New Roman"/>
      <w:b/>
      <w:sz w:val="36"/>
    </w:rPr>
  </w:style>
  <w:style w:type="character" w:styleId="Title1">
    <w:name w:val="Title1"/>
    <w:qFormat/>
    <w:rPr>
      <w:sz w:val="48"/>
    </w:rPr>
  </w:style>
  <w:style w:type="character" w:styleId="Heading41">
    <w:name w:val="Heading 41"/>
    <w:qFormat/>
    <w:rPr>
      <w:rFonts w:ascii="Arial" w:hAnsi="Arial"/>
      <w:b/>
      <w:sz w:val="26"/>
    </w:rPr>
  </w:style>
  <w:style w:type="character" w:styleId="FigureIndex1">
    <w:name w:val="Figure Index 1"/>
    <w:qFormat/>
    <w:rPr/>
  </w:style>
  <w:style w:type="character" w:styleId="Heading21">
    <w:name w:val="Heading 21"/>
    <w:basedOn w:val="1"/>
    <w:qFormat/>
    <w:rPr>
      <w:b/>
      <w:sz w:val="28"/>
    </w:rPr>
  </w:style>
  <w:style w:type="character" w:styleId="Heading61">
    <w:name w:val="Heading 61"/>
    <w:qFormat/>
    <w:rPr>
      <w:rFonts w:ascii="Arial" w:hAnsi="Arial"/>
      <w:b/>
      <w:sz w:val="22"/>
    </w:rPr>
  </w:style>
  <w:style w:type="character" w:styleId="Style12">
    <w:name w:val="Ссылка указателя"/>
    <w:qFormat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ind w:hanging="0" w:left="112"/>
    </w:pPr>
    <w:rPr>
      <w:rFonts w:ascii="Times New Roman" w:hAnsi="Times New Roman"/>
      <w:color w:val="000000"/>
      <w:sz w:val="26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211">
    <w:name w:val="Колонтитул (2)1"/>
    <w:basedOn w:val="Normal"/>
    <w:link w:val="2"/>
    <w:qFormat/>
    <w:pPr/>
    <w:rPr>
      <w:rFonts w:ascii="Times New Roman" w:hAnsi="Times New Roman"/>
      <w:sz w:val="20"/>
    </w:rPr>
  </w:style>
  <w:style w:type="paragraph" w:styleId="FooterChar1">
    <w:name w:val="Footer Char1"/>
    <w:basedOn w:val="DefaultParagraphFont1"/>
    <w:link w:val="FooterChar"/>
    <w:qFormat/>
    <w:pPr/>
    <w:rPr/>
  </w:style>
  <w:style w:type="paragraph" w:styleId="TOC2">
    <w:name w:val="TOC 2"/>
    <w:basedOn w:val="Normal"/>
    <w:next w:val="Normal"/>
    <w:uiPriority w:val="39"/>
    <w:pPr>
      <w:spacing w:before="0" w:after="100"/>
      <w:ind w:hanging="0" w:left="240"/>
    </w:pPr>
    <w:rPr/>
  </w:style>
  <w:style w:type="paragraph" w:styleId="TOC4">
    <w:name w:val="TOC 4"/>
    <w:basedOn w:val="Normal"/>
    <w:next w:val="Normal"/>
    <w:uiPriority w:val="39"/>
    <w:pPr>
      <w:spacing w:before="0" w:after="57"/>
      <w:ind w:hanging="0" w:left="850"/>
    </w:pPr>
    <w:rPr/>
  </w:style>
  <w:style w:type="paragraph" w:styleId="HeaderChar1">
    <w:name w:val="Header Char1"/>
    <w:basedOn w:val="DefaultParagraphFont1"/>
    <w:link w:val="HeaderChar"/>
    <w:qFormat/>
    <w:pPr/>
    <w:rPr/>
  </w:style>
  <w:style w:type="paragraph" w:styleId="Caption2">
    <w:name w:val="caption2"/>
    <w:basedOn w:val="Normal"/>
    <w:next w:val="Normal"/>
    <w:link w:val="Caption1"/>
    <w:qFormat/>
    <w:pPr>
      <w:spacing w:lineRule="auto" w:line="276"/>
    </w:pPr>
    <w:rPr>
      <w:b/>
      <w:color w:themeColor="accent1" w:val="5B9BD5"/>
      <w:sz w:val="18"/>
    </w:rPr>
  </w:style>
  <w:style w:type="paragraph" w:styleId="TOC6">
    <w:name w:val="TOC 6"/>
    <w:basedOn w:val="Normal"/>
    <w:next w:val="Normal"/>
    <w:uiPriority w:val="39"/>
    <w:pPr>
      <w:spacing w:before="0" w:after="57"/>
      <w:ind w:hanging="0" w:left="1417"/>
    </w:pPr>
    <w:rPr/>
  </w:style>
  <w:style w:type="paragraph" w:styleId="Heading6Char1">
    <w:name w:val="Heading 6 Char1"/>
    <w:basedOn w:val="DefaultParagraphFont1"/>
    <w:link w:val="Heading6Char"/>
    <w:qFormat/>
    <w:pPr/>
    <w:rPr>
      <w:rFonts w:ascii="Arial" w:hAnsi="Arial"/>
      <w:b/>
      <w:sz w:val="22"/>
    </w:rPr>
  </w:style>
  <w:style w:type="paragraph" w:styleId="TitleChar1">
    <w:name w:val="Title Char1"/>
    <w:basedOn w:val="DefaultParagraphFont1"/>
    <w:link w:val="TitleChar"/>
    <w:qFormat/>
    <w:pPr/>
    <w:rPr>
      <w:sz w:val="48"/>
    </w:rPr>
  </w:style>
  <w:style w:type="paragraph" w:styleId="TOC7">
    <w:name w:val="TOC 7"/>
    <w:basedOn w:val="Normal"/>
    <w:next w:val="Normal"/>
    <w:uiPriority w:val="39"/>
    <w:pPr>
      <w:spacing w:before="0" w:after="57"/>
      <w:ind w:hanging="0" w:left="1701"/>
    </w:pPr>
    <w:rPr/>
  </w:style>
  <w:style w:type="paragraph" w:styleId="TableParagraph1">
    <w:name w:val="Table Paragraph1"/>
    <w:basedOn w:val="Normal"/>
    <w:link w:val="TableParagraph"/>
    <w:qFormat/>
    <w:pPr/>
    <w:rPr>
      <w:rFonts w:ascii="Times New Roman" w:hAnsi="Times New Roman"/>
      <w:color w:val="000000"/>
      <w:sz w:val="22"/>
    </w:rPr>
  </w:style>
  <w:style w:type="paragraph" w:styleId="Heading5Char1">
    <w:name w:val="Heading 5 Char1"/>
    <w:basedOn w:val="DefaultParagraphFont1"/>
    <w:link w:val="Heading5Char"/>
    <w:qFormat/>
    <w:pPr/>
    <w:rPr>
      <w:rFonts w:ascii="Arial" w:hAnsi="Arial"/>
      <w:b/>
      <w:sz w:val="24"/>
    </w:rPr>
  </w:style>
  <w:style w:type="paragraph" w:styleId="212">
    <w:name w:val="Заголовок №21"/>
    <w:basedOn w:val="Normal"/>
    <w:link w:val="21"/>
    <w:qFormat/>
    <w:pPr>
      <w:outlineLvl w:val="1"/>
    </w:pPr>
    <w:rPr>
      <w:rFonts w:ascii="Times New Roman" w:hAnsi="Times New Roman"/>
      <w:sz w:val="20"/>
    </w:rPr>
  </w:style>
  <w:style w:type="paragraph" w:styleId="12">
    <w:name w:val="Колонтитул1"/>
    <w:link w:val="Style5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Heading9Char1">
    <w:name w:val="Heading 9 Char1"/>
    <w:basedOn w:val="DefaultParagraphFont1"/>
    <w:link w:val="Heading9Char"/>
    <w:qFormat/>
    <w:pPr/>
    <w:rPr>
      <w:rFonts w:ascii="Arial" w:hAnsi="Arial"/>
      <w:i/>
      <w:sz w:val="21"/>
    </w:rPr>
  </w:style>
  <w:style w:type="paragraph" w:styleId="DefaultParagraphFont1">
    <w:name w:val="Default Paragraph Font1"/>
    <w:link w:val="DefaultParagraphFont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 Unicode MS" w:hAnsi="Arial Unicode MS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8Char1">
    <w:name w:val="Heading 8 Char1"/>
    <w:basedOn w:val="DefaultParagraphFont1"/>
    <w:link w:val="Heading8Char"/>
    <w:qFormat/>
    <w:pPr/>
    <w:rPr>
      <w:rFonts w:ascii="Arial" w:hAnsi="Arial"/>
      <w:i/>
      <w:sz w:val="22"/>
    </w:rPr>
  </w:style>
  <w:style w:type="paragraph" w:styleId="13">
    <w:name w:val="Подпись к таблице1"/>
    <w:basedOn w:val="Normal"/>
    <w:link w:val="Style6"/>
    <w:qFormat/>
    <w:pPr/>
    <w:rPr>
      <w:rFonts w:ascii="Times New Roman" w:hAnsi="Times New Roman"/>
      <w:b/>
      <w:sz w:val="26"/>
    </w:rPr>
  </w:style>
  <w:style w:type="paragraph" w:styleId="FootnoteText">
    <w:name w:val="Footnote Text"/>
    <w:basedOn w:val="Normal"/>
    <w:link w:val="Style7"/>
    <w:pPr>
      <w:ind w:firstLine="740" w:left="0"/>
    </w:pPr>
    <w:rPr>
      <w:rFonts w:ascii="Times New Roman" w:hAnsi="Times New Roman"/>
      <w:sz w:val="20"/>
    </w:rPr>
  </w:style>
  <w:style w:type="paragraph" w:styleId="FootnoteSymbol">
    <w:name w:val="Footnote Symbol"/>
    <w:basedOn w:val="DefaultParagraphFont1"/>
    <w:qFormat/>
    <w:pPr/>
    <w:rPr>
      <w:vertAlign w:val="superscript"/>
    </w:rPr>
  </w:style>
  <w:style w:type="paragraph" w:styleId="Heading4Char1">
    <w:name w:val="Heading 4 Char1"/>
    <w:basedOn w:val="DefaultParagraphFont1"/>
    <w:link w:val="Heading4Char"/>
    <w:qFormat/>
    <w:pPr/>
    <w:rPr>
      <w:rFonts w:ascii="Arial" w:hAnsi="Arial"/>
      <w:b/>
      <w:sz w:val="26"/>
    </w:rPr>
  </w:style>
  <w:style w:type="paragraph" w:styleId="EndnoteTextChar1">
    <w:name w:val="Endnote Text Char1"/>
    <w:link w:val="EndnoteTextChar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 Unicode MS" w:hAnsi="Arial Unicode M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Heading2Char1">
    <w:name w:val="Heading 2 Char1"/>
    <w:basedOn w:val="DefaultParagraphFont1"/>
    <w:link w:val="Heading2Char"/>
    <w:qFormat/>
    <w:pPr/>
    <w:rPr>
      <w:rFonts w:ascii="Arial" w:hAnsi="Arial"/>
      <w:sz w:val="34"/>
    </w:rPr>
  </w:style>
  <w:style w:type="paragraph" w:styleId="TOC3">
    <w:name w:val="TOC 3"/>
    <w:basedOn w:val="Normal"/>
    <w:next w:val="Normal"/>
    <w:uiPriority w:val="39"/>
    <w:pPr>
      <w:spacing w:before="0" w:after="100"/>
      <w:ind w:hanging="0" w:left="480"/>
    </w:pPr>
    <w:rPr/>
  </w:style>
  <w:style w:type="paragraph" w:styleId="BalloonText1">
    <w:name w:val="Balloon Text1"/>
    <w:basedOn w:val="Normal"/>
    <w:link w:val="BalloonText"/>
    <w:qFormat/>
    <w:pPr/>
    <w:rPr>
      <w:rFonts w:ascii="Segoe UI" w:hAnsi="Segoe UI"/>
      <w:sz w:val="18"/>
    </w:rPr>
  </w:style>
  <w:style w:type="paragraph" w:styleId="14">
    <w:name w:val="Другое1"/>
    <w:basedOn w:val="Normal"/>
    <w:link w:val="Style9"/>
    <w:qFormat/>
    <w:pPr>
      <w:ind w:firstLine="400" w:left="0"/>
    </w:pPr>
    <w:rPr>
      <w:rFonts w:ascii="Times New Roman" w:hAnsi="Times New Roman"/>
      <w:sz w:val="26"/>
    </w:rPr>
  </w:style>
  <w:style w:type="paragraph" w:styleId="23">
    <w:name w:val="Колонтитул2"/>
    <w:basedOn w:val="Normal"/>
    <w:qFormat/>
    <w:pPr/>
    <w:rPr/>
  </w:style>
  <w:style w:type="paragraph" w:styleId="3">
    <w:name w:val="Колонтитул3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7143" w:leader="none"/>
        <w:tab w:val="right" w:pos="14287" w:leader="none"/>
      </w:tabs>
    </w:pPr>
    <w:rPr/>
  </w:style>
  <w:style w:type="paragraph" w:styleId="SubtitleChar1">
    <w:name w:val="Subtitle Char1"/>
    <w:basedOn w:val="DefaultParagraphFont1"/>
    <w:link w:val="SubtitleChar"/>
    <w:qFormat/>
    <w:pPr/>
    <w:rPr>
      <w:sz w:val="24"/>
    </w:rPr>
  </w:style>
  <w:style w:type="paragraph" w:styleId="Heading1Char1">
    <w:name w:val="Heading 1 Char1"/>
    <w:basedOn w:val="DefaultParagraphFont1"/>
    <w:link w:val="Heading1Char"/>
    <w:qFormat/>
    <w:pPr/>
    <w:rPr>
      <w:rFonts w:ascii="Arial" w:hAnsi="Arial"/>
      <w:sz w:val="40"/>
    </w:rPr>
  </w:style>
  <w:style w:type="paragraph" w:styleId="NoSpacing1">
    <w:name w:val="No Spacing1"/>
    <w:link w:val="NoSpacing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 Unicode MS" w:hAnsi="Arial Unicode MS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61">
    <w:name w:val="Основной текст (6)1"/>
    <w:basedOn w:val="Normal"/>
    <w:link w:val="6"/>
    <w:qFormat/>
    <w:pPr>
      <w:spacing w:before="0" w:after="60"/>
      <w:jc w:val="center"/>
    </w:pPr>
    <w:rPr>
      <w:rFonts w:ascii="Times New Roman" w:hAnsi="Times New Roman"/>
      <w:i/>
      <w:sz w:val="16"/>
    </w:rPr>
  </w:style>
  <w:style w:type="paragraph" w:styleId="Footer">
    <w:name w:val="Footer"/>
    <w:basedOn w:val="Normal"/>
    <w:pPr>
      <w:tabs>
        <w:tab w:val="clear" w:pos="709"/>
        <w:tab w:val="center" w:pos="7143" w:leader="none"/>
        <w:tab w:val="right" w:pos="14287" w:leader="none"/>
      </w:tabs>
    </w:pPr>
    <w:rPr/>
  </w:style>
  <w:style w:type="paragraph" w:styleId="FootnoteTextChar1">
    <w:name w:val="Footnote Text Char1"/>
    <w:link w:val="FootnoteTextChar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 Unicode MS" w:hAnsi="Arial Unicode MS" w:eastAsia="Tahoma" w:cs="Lohit Devanagari"/>
      <w:color w:val="000000"/>
      <w:spacing w:val="0"/>
      <w:kern w:val="0"/>
      <w:sz w:val="18"/>
      <w:szCs w:val="20"/>
      <w:lang w:val="ru-RU" w:eastAsia="zh-CN" w:bidi="hi-IN"/>
    </w:rPr>
  </w:style>
  <w:style w:type="paragraph" w:styleId="EndnoteText">
    <w:name w:val="Endnote Text"/>
    <w:basedOn w:val="Normal"/>
    <w:pPr/>
    <w:rPr>
      <w:sz w:val="20"/>
    </w:rPr>
  </w:style>
  <w:style w:type="paragraph" w:styleId="111">
    <w:name w:val="Основной текст11"/>
    <w:basedOn w:val="Normal"/>
    <w:link w:val="1"/>
    <w:qFormat/>
    <w:pPr>
      <w:ind w:firstLine="400" w:left="0"/>
    </w:pPr>
    <w:rPr>
      <w:rFonts w:ascii="Times New Roman" w:hAnsi="Times New Roman"/>
      <w:sz w:val="26"/>
    </w:rPr>
  </w:style>
  <w:style w:type="paragraph" w:styleId="Internetlink">
    <w:name w:val="Internet link"/>
    <w:basedOn w:val="DefaultParagraphFont1"/>
    <w:qFormat/>
    <w:pPr/>
    <w:rPr>
      <w:color w:themeColor="hyperlink" w:val="0563C1"/>
      <w:u w:val="single"/>
    </w:rPr>
  </w:style>
  <w:style w:type="paragraph" w:styleId="Footnote1">
    <w:name w:val="Footnote1"/>
    <w:basedOn w:val="Normal"/>
    <w:link w:val="Footnote"/>
    <w:qFormat/>
    <w:pPr/>
    <w:rPr>
      <w:sz w:val="20"/>
    </w:rPr>
  </w:style>
  <w:style w:type="paragraph" w:styleId="QuoteChar1">
    <w:name w:val="Quote Char1"/>
    <w:link w:val="QuoteChar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 Unicode MS" w:hAnsi="Arial Unicode M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OC1">
    <w:name w:val="TOC 1"/>
    <w:basedOn w:val="Normal"/>
    <w:next w:val="Normal"/>
    <w:uiPriority w:val="39"/>
    <w:pPr>
      <w:spacing w:before="0" w:after="100"/>
    </w:pPr>
    <w:rPr/>
  </w:style>
  <w:style w:type="paragraph" w:styleId="Annotationsubject1">
    <w:name w:val="annotation subject1"/>
    <w:basedOn w:val="Annotationtext1"/>
    <w:next w:val="Annotationtext1"/>
    <w:link w:val="Annotationsubject"/>
    <w:qFormat/>
    <w:pPr/>
    <w:rPr>
      <w:b/>
    </w:rPr>
  </w:style>
  <w:style w:type="paragraph" w:styleId="Quote1">
    <w:name w:val="Quote1"/>
    <w:basedOn w:val="Normal"/>
    <w:next w:val="Normal"/>
    <w:link w:val="Quote"/>
    <w:qFormat/>
    <w:pPr>
      <w:ind w:hanging="0" w:left="720" w:right="720"/>
    </w:pPr>
    <w:rPr>
      <w:i/>
    </w:rPr>
  </w:style>
  <w:style w:type="paragraph" w:styleId="ListParagraph1">
    <w:name w:val="List Paragraph1"/>
    <w:basedOn w:val="Normal"/>
    <w:link w:val="ListParagraph"/>
    <w:qFormat/>
    <w:pPr>
      <w:ind w:firstLine="709" w:left="112"/>
    </w:pPr>
    <w:rPr>
      <w:rFonts w:ascii="Times New Roman" w:hAnsi="Times New Roman"/>
      <w:color w:val="000000"/>
      <w:sz w:val="22"/>
    </w:rPr>
  </w:style>
  <w:style w:type="paragraph" w:styleId="TOC9">
    <w:name w:val="TOC 9"/>
    <w:basedOn w:val="Normal"/>
    <w:next w:val="Normal"/>
    <w:uiPriority w:val="39"/>
    <w:pPr>
      <w:spacing w:before="0" w:after="57"/>
      <w:ind w:hanging="0" w:left="2268"/>
    </w:pPr>
    <w:rPr/>
  </w:style>
  <w:style w:type="paragraph" w:styleId="Annotationtext1">
    <w:name w:val="annotation text1"/>
    <w:basedOn w:val="Normal"/>
    <w:link w:val="Annotationtext"/>
    <w:qFormat/>
    <w:pPr/>
    <w:rPr>
      <w:sz w:val="20"/>
    </w:rPr>
  </w:style>
  <w:style w:type="paragraph" w:styleId="IntenseQuoteChar1">
    <w:name w:val="Intense Quote Char1"/>
    <w:link w:val="IntenseQuoteChar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Arial Unicode MS" w:hAnsi="Arial Unicode M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OC8">
    <w:name w:val="TOC 8"/>
    <w:basedOn w:val="Normal"/>
    <w:next w:val="Normal"/>
    <w:uiPriority w:val="39"/>
    <w:pPr>
      <w:spacing w:before="0" w:after="57"/>
      <w:ind w:hanging="0" w:left="1984"/>
    </w:pPr>
    <w:rPr/>
  </w:style>
  <w:style w:type="paragraph" w:styleId="IntenseQuote1">
    <w:name w:val="Intense Quote1"/>
    <w:basedOn w:val="Normal"/>
    <w:next w:val="Normal"/>
    <w:link w:val="IntenseQuote"/>
    <w:qFormat/>
    <w:pPr>
      <w:ind w:hanging="0" w:left="720" w:right="720"/>
    </w:pPr>
    <w:rPr>
      <w:i/>
    </w:rPr>
  </w:style>
  <w:style w:type="paragraph" w:styleId="15">
    <w:name w:val="Оглавление1"/>
    <w:basedOn w:val="Normal"/>
    <w:link w:val="Style10"/>
    <w:qFormat/>
    <w:pPr/>
    <w:rPr>
      <w:rFonts w:ascii="Times New Roman" w:hAnsi="Times New Roman"/>
      <w:sz w:val="26"/>
    </w:rPr>
  </w:style>
  <w:style w:type="paragraph" w:styleId="EndnoteSymbol">
    <w:name w:val="Endnote Symbol"/>
    <w:basedOn w:val="DefaultParagraphFont1"/>
    <w:qFormat/>
    <w:pPr/>
    <w:rPr>
      <w:vertAlign w:val="superscript"/>
    </w:rPr>
  </w:style>
  <w:style w:type="paragraph" w:styleId="112">
    <w:name w:val="Заголовок №11"/>
    <w:basedOn w:val="Normal"/>
    <w:link w:val="11"/>
    <w:qFormat/>
    <w:pPr>
      <w:spacing w:before="0" w:after="80"/>
      <w:ind w:firstLine="740" w:left="0"/>
      <w:outlineLvl w:val="0"/>
    </w:pPr>
    <w:rPr>
      <w:rFonts w:ascii="Times New Roman" w:hAnsi="Times New Roman"/>
      <w:b/>
      <w:sz w:val="26"/>
    </w:rPr>
  </w:style>
  <w:style w:type="paragraph" w:styleId="TOC5">
    <w:name w:val="TOC 5"/>
    <w:basedOn w:val="Normal"/>
    <w:next w:val="Normal"/>
    <w:uiPriority w:val="39"/>
    <w:pPr>
      <w:spacing w:before="0" w:after="57"/>
      <w:ind w:hanging="0" w:left="1134"/>
    </w:pPr>
    <w:rPr/>
  </w:style>
  <w:style w:type="paragraph" w:styleId="CaptionChar1">
    <w:name w:val="Caption Char1"/>
    <w:basedOn w:val="DefaultParagraphFont1"/>
    <w:link w:val="CaptionChar"/>
    <w:qFormat/>
    <w:pPr/>
    <w:rPr>
      <w:b/>
      <w:color w:themeColor="accent1" w:val="5B9BD5"/>
      <w:sz w:val="18"/>
    </w:rPr>
  </w:style>
  <w:style w:type="paragraph" w:styleId="Heading7Char1">
    <w:name w:val="Heading 7 Char1"/>
    <w:basedOn w:val="DefaultParagraphFont1"/>
    <w:link w:val="Heading7Char"/>
    <w:qFormat/>
    <w:pPr/>
    <w:rPr>
      <w:rFonts w:ascii="Arial" w:hAnsi="Arial"/>
      <w:b/>
      <w:i/>
      <w:sz w:val="22"/>
    </w:rPr>
  </w:style>
  <w:style w:type="paragraph" w:styleId="Annotationreference1">
    <w:name w:val="annotation reference1"/>
    <w:basedOn w:val="DefaultParagraphFont1"/>
    <w:link w:val="Annotationreference"/>
    <w:qFormat/>
    <w:pPr/>
    <w:rPr>
      <w:sz w:val="16"/>
    </w:rPr>
  </w:style>
  <w:style w:type="paragraph" w:styleId="Subtitle">
    <w:name w:val="Subtitle"/>
    <w:basedOn w:val="Normal"/>
    <w:next w:val="Normal"/>
    <w:uiPriority w:val="11"/>
    <w:qFormat/>
    <w:pPr>
      <w:spacing w:before="200" w:after="200"/>
    </w:pPr>
    <w:rPr/>
  </w:style>
  <w:style w:type="paragraph" w:styleId="Heading3Char1">
    <w:name w:val="Heading 3 Char1"/>
    <w:basedOn w:val="DefaultParagraphFont1"/>
    <w:link w:val="Heading3Char"/>
    <w:qFormat/>
    <w:pPr/>
    <w:rPr>
      <w:rFonts w:ascii="Arial" w:hAnsi="Arial"/>
      <w:sz w:val="30"/>
    </w:rPr>
  </w:style>
  <w:style w:type="paragraph" w:styleId="IndexHeading">
    <w:name w:val="Index Heading"/>
    <w:basedOn w:val="Style13"/>
    <w:pPr/>
    <w:rPr/>
  </w:style>
  <w:style w:type="paragraph" w:styleId="TOCHeading">
    <w:name w:val="TOC Heading"/>
    <w:basedOn w:val="Heading1"/>
    <w:next w:val="Normal"/>
    <w:qFormat/>
    <w:pPr>
      <w:widowControl/>
      <w:spacing w:lineRule="auto" w:line="264"/>
      <w:outlineLvl w:val="8"/>
    </w:pPr>
    <w:rPr/>
  </w:style>
  <w:style w:type="paragraph" w:styleId="213">
    <w:name w:val="Основной текст (2)1"/>
    <w:basedOn w:val="Normal"/>
    <w:link w:val="22"/>
    <w:qFormat/>
    <w:pPr>
      <w:spacing w:before="0" w:after="7440"/>
      <w:jc w:val="center"/>
    </w:pPr>
    <w:rPr>
      <w:rFonts w:ascii="Times New Roman" w:hAnsi="Times New Roman"/>
      <w:b/>
      <w:sz w:val="36"/>
    </w:rPr>
  </w:style>
  <w:style w:type="paragraph" w:styleId="Title">
    <w:name w:val="Title"/>
    <w:basedOn w:val="Normal"/>
    <w:next w:val="Normal"/>
    <w:uiPriority w:val="10"/>
    <w:qFormat/>
    <w:pPr>
      <w:spacing w:before="300" w:after="200"/>
      <w:contextualSpacing/>
    </w:pPr>
    <w:rPr>
      <w:sz w:val="48"/>
    </w:rPr>
  </w:style>
  <w:style w:type="paragraph" w:styleId="TableofFigures">
    <w:name w:val="Table of Figures"/>
    <w:basedOn w:val="Normal"/>
    <w:next w:val="Normal"/>
    <w:pPr/>
    <w:rPr/>
  </w:style>
  <w:style w:type="paragraph" w:styleId="Style15">
    <w:name w:val="Содержимое врезки"/>
    <w:basedOn w:val="Normal"/>
    <w:qFormat/>
    <w:pPr/>
    <w:rPr/>
  </w:style>
  <w:style w:type="table" w:styleId="Style_75">
    <w:name w:val="Grid Table 5 Dark- Accent 1"/>
    <w:basedOn w:val="Style_15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</w:tblPr>
  </w:style>
  <w:style w:type="table" w:styleId="Style_76">
    <w:name w:val="List Table 3 - Accent 3"/>
    <w:basedOn w:val="Style_15"/>
    <w:tblPr>
      <w:tblBorders>
        <w:top w:val="single" w:themeColor="accent3" w:themeTint="98" w:sz="4"/>
        <w:left w:val="single" w:themeColor="accent3" w:themeTint="98" w:sz="4"/>
        <w:bottom w:val="single" w:themeColor="accent3" w:themeTint="98" w:sz="4"/>
        <w:right w:val="single" w:themeColor="accent3" w:themeTint="98" w:sz="4"/>
      </w:tblBorders>
    </w:tblPr>
  </w:style>
  <w:style w:type="table" w:styleId="Style_77">
    <w:name w:val="Grid Table 7 Colorful - Accent 5"/>
    <w:basedOn w:val="Style_15"/>
    <w:tblPr>
      <w:tblBorders>
        <w:bottom w:val="single" w:themeColor="accent5" w:themeTint="90" w:sz="4"/>
        <w:right w:val="single" w:themeColor="accent5" w:themeTint="90" w:sz="4"/>
        <w:insideH w:val="single" w:themeColor="accent5" w:themeTint="90" w:sz="4"/>
        <w:insideV w:val="single" w:themeColor="accent5" w:themeTint="90" w:sz="4"/>
      </w:tblBorders>
    </w:tblPr>
  </w:style>
  <w:style w:type="table" w:styleId="Style_78">
    <w:name w:val="List Table 1 Light - Accent 3"/>
    <w:basedOn w:val="Style_15"/>
  </w:style>
  <w:style w:type="table" w:styleId="Style_9">
    <w:name w:val="Table Grid"/>
    <w:basedOn w:val="Style_15"/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  <w:style w:type="table" w:styleId="Style_79">
    <w:name w:val="List Table 5 Dark"/>
    <w:basedOn w:val="Style_15"/>
    <w:tblPr>
      <w:tblBorders>
        <w:top w:val="single" w:themeColor="text1" w:themeTint="80" w:sz="32"/>
        <w:left w:val="single" w:themeColor="text1" w:themeTint="80" w:sz="32"/>
        <w:bottom w:val="single" w:themeColor="text1" w:themeTint="80" w:sz="32"/>
        <w:right w:val="single" w:themeColor="text1" w:themeTint="80" w:sz="32"/>
      </w:tblBorders>
    </w:tblPr>
  </w:style>
  <w:style w:type="table" w:styleId="Style_80">
    <w:name w:val="List Table 4"/>
    <w:basedOn w:val="Style_15"/>
    <w:tblPr>
      <w:tblBorders>
        <w:top w:val="single" w:themeColor="text1" w:sz="4"/>
        <w:left w:val="single" w:themeColor="text1" w:sz="4"/>
        <w:bottom w:val="single" w:themeColor="text1" w:sz="4"/>
        <w:right w:val="single" w:themeColor="text1" w:sz="4"/>
        <w:insideH w:val="single" w:themeColor="text1" w:sz="4"/>
      </w:tblBorders>
    </w:tblPr>
  </w:style>
  <w:style w:type="table" w:styleId="Style_81">
    <w:name w:val="Lined - Accent 2"/>
    <w:basedOn w:val="Style_15"/>
    <w:rPr>
      <w:sz w:val="20"/>
    </w:rPr>
  </w:style>
  <w:style w:type="table" w:styleId="Style_82">
    <w:name w:val="Grid Table 7 Colorful"/>
    <w:basedOn w:val="Style_15"/>
    <w:tblPr>
      <w:tblBorders>
        <w:bottom w:val="single" w:themeColor="text1" w:themeTint="80" w:sz="4"/>
        <w:right w:val="single" w:themeColor="text1" w:themeTint="80" w:sz="4"/>
        <w:insideH w:val="single" w:themeColor="text1" w:themeTint="80" w:sz="4"/>
        <w:insideV w:val="single" w:themeColor="text1" w:themeTint="80" w:sz="4"/>
      </w:tblBorders>
    </w:tblPr>
  </w:style>
  <w:style w:type="table" w:styleId="Style_83">
    <w:name w:val="Bordered &amp; Lined - Accent 1"/>
    <w:basedOn w:val="Style_15"/>
    <w:rPr>
      <w:sz w:val="20"/>
    </w:rPr>
    <w:tblPr>
      <w:tblBorders>
        <w:top w:val="single" w:themeColor="accent1" w:sz="4"/>
        <w:left w:val="single" w:themeColor="accent1" w:sz="4"/>
        <w:bottom w:val="single" w:themeColor="accent1" w:sz="4"/>
        <w:right w:val="single" w:themeColor="accent1" w:sz="4"/>
        <w:insideH w:val="single" w:themeColor="accent1" w:sz="4"/>
        <w:insideV w:val="single" w:themeColor="accent1" w:sz="4"/>
      </w:tblBorders>
    </w:tblPr>
  </w:style>
  <w:style w:type="table" w:styleId="Style_84">
    <w:name w:val="List Table 1 Light - Accent 5"/>
    <w:basedOn w:val="Style_15"/>
  </w:style>
  <w:style w:type="table" w:styleId="Style_85">
    <w:name w:val="Lined - Accent 3"/>
    <w:basedOn w:val="Style_15"/>
    <w:rPr>
      <w:sz w:val="20"/>
    </w:rPr>
  </w:style>
  <w:style w:type="table" w:styleId="Style_86">
    <w:name w:val="Grid Table 4"/>
    <w:basedOn w:val="Style_15"/>
    <w:tblPr>
      <w:tblBorders>
        <w:top w:val="single" w:themeColor="text1" w:themeTint="90" w:sz="4"/>
        <w:left w:val="single" w:themeColor="text1" w:themeTint="90" w:sz="4"/>
        <w:bottom w:val="single" w:themeColor="text1" w:themeTint="90" w:sz="4"/>
        <w:right w:val="single" w:themeColor="text1" w:themeTint="90" w:sz="4"/>
        <w:insideH w:val="single" w:themeColor="text1" w:themeTint="90" w:sz="4"/>
        <w:insideV w:val="single" w:themeColor="text1" w:themeTint="90" w:sz="4"/>
      </w:tblBorders>
    </w:tblPr>
  </w:style>
  <w:style w:type="table" w:styleId="Style_87">
    <w:name w:val="Grid Table 1 Light - Accent 6"/>
    <w:basedOn w:val="Style_15"/>
    <w:tblPr>
      <w:tblBorders>
        <w:top w:val="single" w:themeColor="accent6" w:themeTint="67" w:sz="4"/>
        <w:left w:val="single" w:themeColor="accent6" w:themeTint="67" w:sz="4"/>
        <w:bottom w:val="single" w:themeColor="accent6" w:themeTint="67" w:sz="4"/>
        <w:right w:val="single" w:themeColor="accent6" w:themeTint="67" w:sz="4"/>
        <w:insideH w:val="single" w:themeColor="accent6" w:themeTint="67" w:sz="4"/>
        <w:insideV w:val="single" w:themeColor="accent6" w:themeTint="67" w:sz="4"/>
      </w:tblBorders>
    </w:tblPr>
  </w:style>
  <w:style w:type="table" w:styleId="Style_88">
    <w:name w:val="Lined - Accent"/>
    <w:basedOn w:val="Style_15"/>
    <w:rPr>
      <w:sz w:val="20"/>
    </w:rPr>
  </w:style>
  <w:style w:type="table" w:styleId="Style_89">
    <w:name w:val="Grid Table 5 Dark - Accent 2"/>
    <w:basedOn w:val="Style_15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</w:tblPr>
  </w:style>
  <w:style w:type="table" w:styleId="Style_90">
    <w:name w:val="List Table 6 Colorful"/>
    <w:basedOn w:val="Style_15"/>
    <w:tblPr>
      <w:tblBorders>
        <w:top w:val="single" w:themeColor="text1" w:themeTint="80" w:sz="4"/>
        <w:bottom w:val="single" w:themeColor="text1" w:themeTint="80" w:sz="4"/>
      </w:tblBorders>
    </w:tblPr>
  </w:style>
  <w:style w:type="table" w:default="1" w:styleId="Style_15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Style_91">
    <w:name w:val="List Table 5 Dark - Accent 3"/>
    <w:basedOn w:val="Style_15"/>
    <w:tblPr>
      <w:tblBorders>
        <w:top w:val="single" w:themeColor="accent3" w:themeTint="98" w:sz="32"/>
        <w:left w:val="single" w:themeColor="accent3" w:themeTint="98" w:sz="32"/>
        <w:bottom w:val="single" w:themeColor="accent3" w:themeTint="98" w:sz="32"/>
        <w:right w:val="single" w:themeColor="accent3" w:themeTint="98" w:sz="32"/>
      </w:tblBorders>
    </w:tblPr>
  </w:style>
  <w:style w:type="table" w:styleId="Style_92">
    <w:name w:val="Grid Table 7 Colorful - Accent 3"/>
    <w:basedOn w:val="Style_15"/>
    <w:tblPr>
      <w:tblBorders>
        <w:bottom w:val="single" w:themeColor="accent3" w:themeTint="fe" w:sz="4"/>
        <w:right w:val="single" w:themeColor="accent3" w:themeTint="fe" w:sz="4"/>
        <w:insideH w:val="single" w:themeColor="accent3" w:themeTint="fe" w:sz="4"/>
        <w:insideV w:val="single" w:themeColor="accent3" w:themeTint="fe" w:sz="4"/>
      </w:tblBorders>
    </w:tblPr>
  </w:style>
  <w:style w:type="table" w:styleId="Style_93">
    <w:name w:val="Grid Table 2"/>
    <w:basedOn w:val="Style_15"/>
    <w:tblPr>
      <w:tblBorders>
        <w:bottom w:val="single" w:themeColor="text1" w:themeTint="95" w:sz="4"/>
        <w:insideH w:val="single" w:themeColor="text1" w:themeTint="95" w:sz="4"/>
        <w:insideV w:val="single" w:themeColor="text1" w:themeTint="95" w:sz="4"/>
      </w:tblBorders>
    </w:tblPr>
  </w:style>
  <w:style w:type="table" w:styleId="Style_94">
    <w:name w:val="Grid Table 4 - Accent 4"/>
    <w:basedOn w:val="Style_15"/>
    <w:tblPr>
      <w:tblBorders>
        <w:top w:val="single" w:themeColor="accent4" w:themeTint="90" w:sz="4"/>
        <w:left w:val="single" w:themeColor="accent4" w:themeTint="90" w:sz="4"/>
        <w:bottom w:val="single" w:themeColor="accent4" w:themeTint="90" w:sz="4"/>
        <w:right w:val="single" w:themeColor="accent4" w:themeTint="90" w:sz="4"/>
        <w:insideH w:val="single" w:themeColor="accent4" w:themeTint="90" w:sz="4"/>
        <w:insideV w:val="single" w:themeColor="accent4" w:themeTint="90" w:sz="4"/>
      </w:tblBorders>
    </w:tblPr>
  </w:style>
  <w:style w:type="table" w:styleId="Style_95">
    <w:name w:val="List Table 7 Colorful - Accent 1"/>
    <w:basedOn w:val="Style_15"/>
    <w:tblPr>
      <w:tblBorders>
        <w:right w:val="single" w:themeColor="accent1" w:sz="4"/>
      </w:tblBorders>
    </w:tblPr>
  </w:style>
  <w:style w:type="table" w:styleId="Style_96">
    <w:name w:val="List Table 6 Colorful - Accent 6"/>
    <w:basedOn w:val="Style_15"/>
    <w:tblPr>
      <w:tblBorders>
        <w:top w:val="single" w:themeColor="accent6" w:themeTint="98" w:sz="4"/>
        <w:bottom w:val="single" w:themeColor="accent6" w:themeTint="98" w:sz="4"/>
      </w:tblBorders>
    </w:tblPr>
  </w:style>
  <w:style w:type="table" w:styleId="Style_97">
    <w:name w:val="Grid Table 6 Colorful - Accent 3"/>
    <w:basedOn w:val="Style_15"/>
    <w:tblPr>
      <w:tblBorders>
        <w:top w:val="single" w:themeColor="accent3" w:themeTint="fe" w:sz="4"/>
        <w:left w:val="single" w:themeColor="accent3" w:themeTint="fe" w:sz="4"/>
        <w:bottom w:val="single" w:themeColor="accent3" w:themeTint="fe" w:sz="4"/>
        <w:right w:val="single" w:themeColor="accent3" w:themeTint="fe" w:sz="4"/>
        <w:insideH w:val="single" w:themeColor="accent3" w:themeTint="fe" w:sz="4"/>
        <w:insideV w:val="single" w:themeColor="accent3" w:themeTint="fe" w:sz="4"/>
      </w:tblBorders>
    </w:tblPr>
  </w:style>
  <w:style w:type="table" w:styleId="Style_98">
    <w:name w:val="List Table 1 Light"/>
    <w:basedOn w:val="Style_15"/>
  </w:style>
  <w:style w:type="table" w:styleId="Style_99">
    <w:name w:val="List Table 4 - Accent 2"/>
    <w:basedOn w:val="Style_15"/>
    <w:tblPr>
      <w:tblBorders>
        <w:top w:val="single" w:themeColor="accent2" w:themeTint="90" w:sz="4"/>
        <w:left w:val="single" w:themeColor="accent2" w:themeTint="90" w:sz="4"/>
        <w:bottom w:val="single" w:themeColor="accent2" w:themeTint="90" w:sz="4"/>
        <w:right w:val="single" w:themeColor="accent2" w:themeTint="90" w:sz="4"/>
        <w:insideH w:val="single" w:themeColor="accent2" w:themeTint="90" w:sz="4"/>
      </w:tblBorders>
    </w:tblPr>
  </w:style>
  <w:style w:type="table" w:styleId="Style_100">
    <w:name w:val="Bordered - Accent 6"/>
    <w:basedOn w:val="Style_15"/>
    <w:tblPr>
      <w:tblBorders>
        <w:top w:val="single" w:themeColor="accent6" w:themeTint="67" w:sz="4"/>
        <w:left w:val="single" w:themeColor="accent6" w:themeTint="67" w:sz="4"/>
        <w:bottom w:val="single" w:themeColor="accent6" w:themeTint="67" w:sz="4"/>
        <w:right w:val="single" w:themeColor="accent6" w:themeTint="67" w:sz="4"/>
        <w:insideH w:val="single" w:themeColor="accent6" w:themeTint="67" w:sz="4"/>
        <w:insideV w:val="single" w:themeColor="accent6" w:themeTint="67" w:sz="4"/>
      </w:tblBorders>
    </w:tblPr>
  </w:style>
  <w:style w:type="table" w:styleId="Style_101">
    <w:name w:val="Grid Table 5 Dark - Accent 3"/>
    <w:basedOn w:val="Style_15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</w:tblPr>
  </w:style>
  <w:style w:type="table" w:styleId="Style_102">
    <w:name w:val="List Table 2 - Accent 4"/>
    <w:basedOn w:val="Style_15"/>
    <w:tblPr>
      <w:tblBorders>
        <w:top w:val="single" w:themeColor="accent4" w:themeTint="90" w:sz="4"/>
        <w:bottom w:val="single" w:themeColor="accent4" w:themeTint="90" w:sz="4"/>
        <w:insideH w:val="single" w:themeColor="accent4" w:themeTint="90" w:sz="4"/>
      </w:tblBorders>
    </w:tblPr>
  </w:style>
  <w:style w:type="table" w:styleId="Style_103">
    <w:name w:val="Grid Table 3 - Accent 3"/>
    <w:basedOn w:val="Style_15"/>
    <w:tblPr>
      <w:tblBorders>
        <w:bottom w:val="single" w:themeColor="accent3" w:themeTint="fe" w:sz="4"/>
        <w:insideH w:val="single" w:themeColor="accent3" w:themeTint="fe" w:sz="4"/>
        <w:insideV w:val="single" w:themeColor="accent3" w:themeTint="fe" w:sz="4"/>
      </w:tblBorders>
    </w:tblPr>
  </w:style>
  <w:style w:type="table" w:styleId="Style_104">
    <w:name w:val="Lined - Accent 4"/>
    <w:basedOn w:val="Style_15"/>
    <w:rPr>
      <w:sz w:val="20"/>
    </w:rPr>
  </w:style>
  <w:style w:type="table" w:styleId="Style_105">
    <w:name w:val="List Table 7 Colorful - Accent 2"/>
    <w:basedOn w:val="Style_15"/>
    <w:tblPr>
      <w:tblBorders>
        <w:right w:val="single" w:themeColor="accent2" w:themeTint="97" w:sz="4"/>
      </w:tblBorders>
    </w:tblPr>
  </w:style>
  <w:style w:type="table" w:styleId="Style_106">
    <w:name w:val="Grid Table 7 Colorful - Accent 1"/>
    <w:basedOn w:val="Style_15"/>
    <w:tblPr>
      <w:tblBorders>
        <w:bottom w:val="single" w:themeColor="accent1" w:themeTint="80" w:sz="4"/>
        <w:right w:val="single" w:themeColor="accent1" w:themeTint="80" w:sz="4"/>
        <w:insideH w:val="single" w:themeColor="accent1" w:themeTint="80" w:sz="4"/>
        <w:insideV w:val="single" w:themeColor="accent1" w:themeTint="80" w:sz="4"/>
      </w:tblBorders>
    </w:tblPr>
  </w:style>
  <w:style w:type="table" w:styleId="Style_107">
    <w:name w:val="Grid Table 3"/>
    <w:basedOn w:val="Style_15"/>
    <w:tblPr>
      <w:tblBorders>
        <w:bottom w:val="single" w:themeColor="text1" w:themeTint="95" w:sz="4"/>
        <w:insideH w:val="single" w:themeColor="text1" w:themeTint="95" w:sz="4"/>
        <w:insideV w:val="single" w:themeColor="text1" w:themeTint="95" w:sz="4"/>
      </w:tblBorders>
    </w:tblPr>
  </w:style>
  <w:style w:type="table" w:styleId="Style_108">
    <w:name w:val="Grid Table 6 Colorful"/>
    <w:basedOn w:val="Style_15"/>
    <w:tblPr>
      <w:tblBorders>
        <w:top w:val="single" w:themeColor="text1" w:themeTint="80" w:sz="4"/>
        <w:left w:val="single" w:themeColor="text1" w:themeTint="80" w:sz="4"/>
        <w:bottom w:val="single" w:themeColor="text1" w:themeTint="80" w:sz="4"/>
        <w:right w:val="single" w:themeColor="text1" w:themeTint="80" w:sz="4"/>
        <w:insideH w:val="single" w:themeColor="text1" w:themeTint="80" w:sz="4"/>
        <w:insideV w:val="single" w:themeColor="text1" w:themeTint="80" w:sz="4"/>
      </w:tblBorders>
    </w:tblPr>
  </w:style>
  <w:style w:type="table" w:styleId="Style_109">
    <w:name w:val="Grid Table 3 - Accent 4"/>
    <w:basedOn w:val="Style_15"/>
    <w:tblPr>
      <w:tblBorders>
        <w:bottom w:val="single" w:themeColor="accent4" w:themeTint="9a" w:sz="4"/>
        <w:insideH w:val="single" w:themeColor="accent4" w:themeTint="9a" w:sz="4"/>
        <w:insideV w:val="single" w:themeColor="accent4" w:themeTint="9a" w:sz="4"/>
      </w:tblBorders>
    </w:tblPr>
  </w:style>
  <w:style w:type="table" w:styleId="Style_110">
    <w:name w:val="List Table 5 Dark - Accent 1"/>
    <w:basedOn w:val="Style_15"/>
    <w:tblPr>
      <w:tblBorders>
        <w:top w:val="single" w:themeColor="accent1" w:sz="32"/>
        <w:left w:val="single" w:themeColor="accent1" w:sz="32"/>
        <w:bottom w:val="single" w:themeColor="accent1" w:sz="32"/>
        <w:right w:val="single" w:themeColor="accent1" w:sz="32"/>
      </w:tblBorders>
    </w:tblPr>
  </w:style>
  <w:style w:type="table" w:styleId="Style_111">
    <w:name w:val="Grid Table 4 - Accent 6"/>
    <w:basedOn w:val="Style_15"/>
    <w:tblPr>
      <w:tblBorders>
        <w:top w:val="single" w:themeColor="accent6" w:themeTint="90" w:sz="4"/>
        <w:left w:val="single" w:themeColor="accent6" w:themeTint="90" w:sz="4"/>
        <w:bottom w:val="single" w:themeColor="accent6" w:themeTint="90" w:sz="4"/>
        <w:right w:val="single" w:themeColor="accent6" w:themeTint="90" w:sz="4"/>
        <w:insideH w:val="single" w:themeColor="accent6" w:themeTint="90" w:sz="4"/>
        <w:insideV w:val="single" w:themeColor="accent6" w:themeTint="90" w:sz="4"/>
      </w:tblBorders>
    </w:tblPr>
  </w:style>
  <w:style w:type="table" w:styleId="Style_112">
    <w:name w:val="Bordered &amp; Lined - Accent 5"/>
    <w:basedOn w:val="Style_15"/>
    <w:rPr>
      <w:sz w:val="20"/>
    </w:rPr>
    <w:tblPr>
      <w:tblBorders>
        <w:top w:val="single" w:themeColor="accent5" w:sz="4"/>
        <w:left w:val="single" w:themeColor="accent5" w:sz="4"/>
        <w:bottom w:val="single" w:themeColor="accent5" w:sz="4"/>
        <w:right w:val="single" w:themeColor="accent5" w:sz="4"/>
        <w:insideH w:val="single" w:themeColor="accent5" w:sz="4"/>
        <w:insideV w:val="single" w:themeColor="accent5" w:sz="4"/>
      </w:tblBorders>
    </w:tblPr>
  </w:style>
  <w:style w:type="table" w:styleId="Style_113">
    <w:name w:val="Grid Table 1 Light"/>
    <w:basedOn w:val="Style_15"/>
    <w:tblPr>
      <w:tblBorders>
        <w:top w:val="single" w:themeColor="text1" w:themeTint="67" w:sz="4"/>
        <w:left w:val="single" w:themeColor="text1" w:themeTint="67" w:sz="4"/>
        <w:bottom w:val="single" w:themeColor="text1" w:themeTint="67" w:sz="4"/>
        <w:right w:val="single" w:themeColor="text1" w:themeTint="67" w:sz="4"/>
        <w:insideH w:val="single" w:themeColor="text1" w:themeTint="67" w:sz="4"/>
        <w:insideV w:val="single" w:themeColor="text1" w:themeTint="67" w:sz="4"/>
      </w:tblBorders>
    </w:tblPr>
  </w:style>
  <w:style w:type="table" w:styleId="Style_114">
    <w:name w:val="Grid Table 4 - Accent 1"/>
    <w:basedOn w:val="Style_15"/>
    <w:tblPr>
      <w:tblBorders>
        <w:top w:val="single" w:themeColor="accent1" w:themeTint="90" w:sz="4"/>
        <w:left w:val="single" w:themeColor="accent1" w:themeTint="90" w:sz="4"/>
        <w:bottom w:val="single" w:themeColor="accent1" w:themeTint="90" w:sz="4"/>
        <w:right w:val="single" w:themeColor="accent1" w:themeTint="90" w:sz="4"/>
        <w:insideH w:val="single" w:themeColor="accent1" w:themeTint="90" w:sz="4"/>
        <w:insideV w:val="single" w:themeColor="accent1" w:themeTint="90" w:sz="4"/>
      </w:tblBorders>
    </w:tblPr>
  </w:style>
  <w:style w:type="table" w:styleId="Style_115">
    <w:name w:val="List Table 3 - Accent 6"/>
    <w:basedOn w:val="Style_15"/>
    <w:tblPr>
      <w:tblBorders>
        <w:top w:val="single" w:themeColor="accent6" w:themeTint="98" w:sz="4"/>
        <w:left w:val="single" w:themeColor="accent6" w:themeTint="98" w:sz="4"/>
        <w:bottom w:val="single" w:themeColor="accent6" w:themeTint="98" w:sz="4"/>
        <w:right w:val="single" w:themeColor="accent6" w:themeTint="98" w:sz="4"/>
      </w:tblBorders>
    </w:tblPr>
  </w:style>
  <w:style w:type="table" w:styleId="Style_116">
    <w:name w:val="List Table 6 Colorful - Accent 2"/>
    <w:basedOn w:val="Style_15"/>
    <w:tblPr>
      <w:tblBorders>
        <w:top w:val="single" w:themeColor="accent2" w:themeTint="97" w:sz="4"/>
        <w:bottom w:val="single" w:themeColor="accent2" w:themeTint="97" w:sz="4"/>
      </w:tblBorders>
    </w:tblPr>
  </w:style>
  <w:style w:type="table" w:styleId="Style_117">
    <w:name w:val="Grid Table 1 Light - Accent 5"/>
    <w:basedOn w:val="Style_15"/>
    <w:tblPr>
      <w:tblBorders>
        <w:top w:val="single" w:themeColor="accent5" w:themeTint="67" w:sz="4"/>
        <w:left w:val="single" w:themeColor="accent5" w:themeTint="67" w:sz="4"/>
        <w:bottom w:val="single" w:themeColor="accent5" w:themeTint="67" w:sz="4"/>
        <w:right w:val="single" w:themeColor="accent5" w:themeTint="67" w:sz="4"/>
        <w:insideH w:val="single" w:themeColor="accent5" w:themeTint="67" w:sz="4"/>
        <w:insideV w:val="single" w:themeColor="accent5" w:themeTint="67" w:sz="4"/>
      </w:tblBorders>
    </w:tblPr>
  </w:style>
  <w:style w:type="table" w:styleId="Style_118">
    <w:name w:val="Bordered &amp; Lined - Accent 4"/>
    <w:basedOn w:val="Style_15"/>
    <w:rPr>
      <w:sz w:val="20"/>
    </w:rPr>
    <w:tblPr>
      <w:tblBorders>
        <w:top w:val="single" w:themeColor="accent4" w:sz="4"/>
        <w:left w:val="single" w:themeColor="accent4" w:sz="4"/>
        <w:bottom w:val="single" w:themeColor="accent4" w:sz="4"/>
        <w:right w:val="single" w:themeColor="accent4" w:sz="4"/>
        <w:insideH w:val="single" w:themeColor="accent4" w:sz="4"/>
        <w:insideV w:val="single" w:themeColor="accent4" w:sz="4"/>
      </w:tblBorders>
    </w:tblPr>
  </w:style>
  <w:style w:type="table" w:styleId="Style_119">
    <w:name w:val="List Table 6 Colorful - Accent 5"/>
    <w:basedOn w:val="Style_15"/>
    <w:tblPr>
      <w:tblBorders>
        <w:top w:val="single" w:themeColor="accent5" w:themeTint="9a" w:sz="4"/>
        <w:bottom w:val="single" w:themeColor="accent5" w:themeTint="9a" w:sz="4"/>
      </w:tblBorders>
    </w:tblPr>
  </w:style>
  <w:style w:type="table" w:styleId="Style_120">
    <w:name w:val="List Table 4 - Accent 3"/>
    <w:basedOn w:val="Style_15"/>
    <w:tblPr>
      <w:tblBorders>
        <w:top w:val="single" w:themeColor="accent3" w:themeTint="90" w:sz="4"/>
        <w:left w:val="single" w:themeColor="accent3" w:themeTint="90" w:sz="4"/>
        <w:bottom w:val="single" w:themeColor="accent3" w:themeTint="90" w:sz="4"/>
        <w:right w:val="single" w:themeColor="accent3" w:themeTint="90" w:sz="4"/>
        <w:insideH w:val="single" w:themeColor="accent3" w:themeTint="90" w:sz="4"/>
      </w:tblBorders>
    </w:tblPr>
  </w:style>
  <w:style w:type="table" w:styleId="Style_121">
    <w:name w:val="List Table 5 Dark - Accent 4"/>
    <w:basedOn w:val="Style_15"/>
    <w:tblPr>
      <w:tblBorders>
        <w:top w:val="single" w:themeColor="accent4" w:themeTint="9a" w:sz="32"/>
        <w:left w:val="single" w:themeColor="accent4" w:themeTint="9a" w:sz="32"/>
        <w:bottom w:val="single" w:themeColor="accent4" w:themeTint="9a" w:sz="32"/>
        <w:right w:val="single" w:themeColor="accent4" w:themeTint="9a" w:sz="32"/>
      </w:tblBorders>
    </w:tblPr>
  </w:style>
  <w:style w:type="table" w:styleId="Style_122">
    <w:name w:val="Grid Table 6 Colorful - Accent 4"/>
    <w:basedOn w:val="Style_15"/>
    <w:tblPr>
      <w:tblBorders>
        <w:top w:val="single" w:themeColor="accent4" w:themeTint="9a" w:sz="4"/>
        <w:left w:val="single" w:themeColor="accent4" w:themeTint="9a" w:sz="4"/>
        <w:bottom w:val="single" w:themeColor="accent4" w:themeTint="9a" w:sz="4"/>
        <w:right w:val="single" w:themeColor="accent4" w:themeTint="9a" w:sz="4"/>
        <w:insideH w:val="single" w:themeColor="accent4" w:themeTint="9a" w:sz="4"/>
        <w:insideV w:val="single" w:themeColor="accent4" w:themeTint="9a" w:sz="4"/>
      </w:tblBorders>
    </w:tblPr>
  </w:style>
  <w:style w:type="table" w:styleId="Style_123">
    <w:name w:val="List Table 6 Colorful - Accent 4"/>
    <w:basedOn w:val="Style_15"/>
    <w:tblPr>
      <w:tblBorders>
        <w:top w:val="single" w:themeColor="accent4" w:themeTint="9a" w:sz="4"/>
        <w:bottom w:val="single" w:themeColor="accent4" w:themeTint="9a" w:sz="4"/>
      </w:tblBorders>
    </w:tblPr>
  </w:style>
  <w:style w:type="table" w:styleId="Style_124">
    <w:name w:val="Lined - Accent 6"/>
    <w:basedOn w:val="Style_15"/>
    <w:rPr>
      <w:sz w:val="20"/>
    </w:rPr>
  </w:style>
  <w:style w:type="table" w:styleId="Style_125">
    <w:name w:val="Bordered &amp; Lined - Accent"/>
    <w:basedOn w:val="Style_15"/>
    <w:rPr>
      <w:sz w:val="20"/>
    </w:rPr>
    <w:tblPr>
      <w:tblBorders>
        <w:top w:val="single" w:themeColor="text1" w:themeTint="a6" w:sz="4"/>
        <w:left w:val="single" w:themeColor="text1" w:themeTint="a6" w:sz="4"/>
        <w:bottom w:val="single" w:themeColor="text1" w:themeTint="a6" w:sz="4"/>
        <w:right w:val="single" w:themeColor="text1" w:themeTint="a6" w:sz="4"/>
        <w:insideH w:val="single" w:themeColor="text1" w:themeTint="a6" w:sz="4"/>
        <w:insideV w:val="single" w:themeColor="text1" w:themeTint="a6" w:sz="4"/>
      </w:tblBorders>
    </w:tblPr>
  </w:style>
  <w:style w:type="table" w:styleId="Style_126">
    <w:name w:val="List Table 4 - Accent 5"/>
    <w:basedOn w:val="Style_15"/>
    <w:tblPr>
      <w:tblBorders>
        <w:top w:val="single" w:themeColor="accent5" w:themeTint="90" w:sz="4"/>
        <w:left w:val="single" w:themeColor="accent5" w:themeTint="90" w:sz="4"/>
        <w:bottom w:val="single" w:themeColor="accent5" w:themeTint="90" w:sz="4"/>
        <w:right w:val="single" w:themeColor="accent5" w:themeTint="90" w:sz="4"/>
        <w:insideH w:val="single" w:themeColor="accent5" w:themeTint="90" w:sz="4"/>
      </w:tblBorders>
    </w:tblPr>
  </w:style>
  <w:style w:type="table" w:styleId="Style_127">
    <w:name w:val="List Table 2 - Accent 6"/>
    <w:basedOn w:val="Style_15"/>
    <w:tblPr>
      <w:tblBorders>
        <w:top w:val="single" w:themeColor="accent6" w:themeTint="90" w:sz="4"/>
        <w:bottom w:val="single" w:themeColor="accent6" w:themeTint="90" w:sz="4"/>
        <w:insideH w:val="single" w:themeColor="accent6" w:themeTint="90" w:sz="4"/>
      </w:tblBorders>
    </w:tblPr>
  </w:style>
  <w:style w:type="table" w:styleId="Style_128">
    <w:name w:val="List Table 2 - Accent 5"/>
    <w:basedOn w:val="Style_15"/>
    <w:tblPr>
      <w:tblBorders>
        <w:top w:val="single" w:themeColor="accent5" w:themeTint="90" w:sz="4"/>
        <w:bottom w:val="single" w:themeColor="accent5" w:themeTint="90" w:sz="4"/>
        <w:insideH w:val="single" w:themeColor="accent5" w:themeTint="90" w:sz="4"/>
      </w:tblBorders>
    </w:tblPr>
  </w:style>
  <w:style w:type="table" w:styleId="Style_129">
    <w:name w:val="Lined - Accent 5"/>
    <w:basedOn w:val="Style_15"/>
    <w:rPr>
      <w:sz w:val="20"/>
    </w:rPr>
  </w:style>
  <w:style w:type="table" w:styleId="Style_130">
    <w:name w:val="Grid Table 6 Colorful - Accent 2"/>
    <w:basedOn w:val="Style_15"/>
    <w:tblPr>
      <w:tblBorders>
        <w:top w:val="single" w:themeColor="accent2" w:themeTint="97" w:sz="4"/>
        <w:left w:val="single" w:themeColor="accent2" w:themeTint="97" w:sz="4"/>
        <w:bottom w:val="single" w:themeColor="accent2" w:themeTint="97" w:sz="4"/>
        <w:right w:val="single" w:themeColor="accent2" w:themeTint="97" w:sz="4"/>
        <w:insideH w:val="single" w:themeColor="accent2" w:themeTint="97" w:sz="4"/>
        <w:insideV w:val="single" w:themeColor="accent2" w:themeTint="97" w:sz="4"/>
      </w:tblBorders>
    </w:tblPr>
  </w:style>
  <w:style w:type="table" w:styleId="Style_131">
    <w:name w:val="Grid Table 2 - Accent 1"/>
    <w:basedOn w:val="Style_15"/>
    <w:tblPr>
      <w:tblBorders>
        <w:bottom w:val="single" w:themeColor="accent1" w:themeTint="ea" w:sz="4"/>
        <w:insideH w:val="single" w:themeColor="accent1" w:themeTint="ea" w:sz="4"/>
        <w:insideV w:val="single" w:themeColor="accent1" w:themeTint="ea" w:sz="4"/>
      </w:tblBorders>
    </w:tblPr>
  </w:style>
  <w:style w:type="table" w:styleId="Style_132">
    <w:name w:val="List Table 3 - Accent 1"/>
    <w:basedOn w:val="Style_15"/>
    <w:tblPr>
      <w:tblBorders>
        <w:top w:val="single" w:themeColor="accent1" w:sz="4"/>
        <w:left w:val="single" w:themeColor="accent1" w:sz="4"/>
        <w:bottom w:val="single" w:themeColor="accent1" w:sz="4"/>
        <w:right w:val="single" w:themeColor="accent1" w:sz="4"/>
      </w:tblBorders>
    </w:tblPr>
  </w:style>
  <w:style w:type="table" w:styleId="Style_133">
    <w:name w:val="List Table 2"/>
    <w:basedOn w:val="Style_15"/>
    <w:tblPr>
      <w:tblBorders>
        <w:top w:val="single" w:themeColor="text1" w:themeTint="90" w:sz="4"/>
        <w:bottom w:val="single" w:themeColor="text1" w:themeTint="90" w:sz="4"/>
        <w:insideH w:val="single" w:themeColor="text1" w:themeTint="90" w:sz="4"/>
      </w:tblBorders>
    </w:tblPr>
  </w:style>
  <w:style w:type="table" w:styleId="Style_134">
    <w:name w:val="Grid Table 5 Dark - Accent 5"/>
    <w:basedOn w:val="Style_15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</w:tblPr>
  </w:style>
  <w:style w:type="table" w:styleId="Style_135">
    <w:name w:val="List Table 3"/>
    <w:basedOn w:val="Style_15"/>
    <w:tblPr>
      <w:tblBorders>
        <w:top w:val="single" w:themeColor="text1" w:sz="4"/>
        <w:left w:val="single" w:themeColor="text1" w:sz="4"/>
        <w:bottom w:val="single" w:themeColor="text1" w:sz="4"/>
        <w:right w:val="single" w:themeColor="text1" w:sz="4"/>
      </w:tblBorders>
    </w:tblPr>
  </w:style>
  <w:style w:type="table" w:styleId="Style_136">
    <w:name w:val="Grid Table 4 - Accent 3"/>
    <w:basedOn w:val="Style_15"/>
    <w:tblPr>
      <w:tblBorders>
        <w:top w:val="single" w:themeColor="accent3" w:themeTint="90" w:sz="4"/>
        <w:left w:val="single" w:themeColor="accent3" w:themeTint="90" w:sz="4"/>
        <w:bottom w:val="single" w:themeColor="accent3" w:themeTint="90" w:sz="4"/>
        <w:right w:val="single" w:themeColor="accent3" w:themeTint="90" w:sz="4"/>
        <w:insideH w:val="single" w:themeColor="accent3" w:themeTint="90" w:sz="4"/>
        <w:insideV w:val="single" w:themeColor="accent3" w:themeTint="90" w:sz="4"/>
      </w:tblBorders>
    </w:tblPr>
  </w:style>
  <w:style w:type="table" w:styleId="Style_137">
    <w:name w:val="Grid Table 3 - Accent 6"/>
    <w:basedOn w:val="Style_15"/>
    <w:tblPr>
      <w:tblBorders>
        <w:bottom w:val="single" w:themeColor="accent6" w:sz="4"/>
        <w:insideH w:val="single" w:themeColor="accent6" w:sz="4"/>
        <w:insideV w:val="single" w:themeColor="accent6" w:sz="4"/>
      </w:tblBorders>
    </w:tblPr>
  </w:style>
  <w:style w:type="table" w:styleId="Style_138">
    <w:name w:val="List Table 5 Dark - Accent 6"/>
    <w:basedOn w:val="Style_15"/>
    <w:tblPr>
      <w:tblBorders>
        <w:top w:val="single" w:themeColor="accent6" w:themeTint="98" w:sz="32"/>
        <w:left w:val="single" w:themeColor="accent6" w:themeTint="98" w:sz="32"/>
        <w:bottom w:val="single" w:themeColor="accent6" w:themeTint="98" w:sz="32"/>
        <w:right w:val="single" w:themeColor="accent6" w:themeTint="98" w:sz="32"/>
      </w:tblBorders>
    </w:tblPr>
  </w:style>
  <w:style w:type="table" w:styleId="Style_139">
    <w:name w:val="Lined - Accent 1"/>
    <w:basedOn w:val="Style_15"/>
    <w:rPr>
      <w:sz w:val="20"/>
    </w:rPr>
  </w:style>
  <w:style w:type="table" w:styleId="Style_140">
    <w:name w:val="List Table 5 Dark - Accent 2"/>
    <w:basedOn w:val="Style_15"/>
    <w:tblPr>
      <w:tblBorders>
        <w:top w:val="single" w:themeColor="accent2" w:themeTint="97" w:sz="32"/>
        <w:left w:val="single" w:themeColor="accent2" w:themeTint="97" w:sz="32"/>
        <w:bottom w:val="single" w:themeColor="accent2" w:themeTint="97" w:sz="32"/>
        <w:right w:val="single" w:themeColor="accent2" w:themeTint="97" w:sz="32"/>
      </w:tblBorders>
    </w:tblPr>
  </w:style>
  <w:style w:type="table" w:styleId="Style_141">
    <w:name w:val="List Table 2 - Accent 2"/>
    <w:basedOn w:val="Style_15"/>
    <w:tblPr>
      <w:tblBorders>
        <w:top w:val="single" w:themeColor="accent2" w:themeTint="90" w:sz="4"/>
        <w:bottom w:val="single" w:themeColor="accent2" w:themeTint="90" w:sz="4"/>
        <w:insideH w:val="single" w:themeColor="accent2" w:themeTint="90" w:sz="4"/>
      </w:tblBorders>
    </w:tblPr>
  </w:style>
  <w:style w:type="table" w:styleId="Style_142">
    <w:name w:val="Bordered &amp; Lined - Accent 3"/>
    <w:basedOn w:val="Style_15"/>
    <w:rPr>
      <w:sz w:val="20"/>
    </w:rPr>
    <w:tblPr>
      <w:tblBorders>
        <w:top w:val="single" w:themeColor="accent3" w:sz="4"/>
        <w:left w:val="single" w:themeColor="accent3" w:sz="4"/>
        <w:bottom w:val="single" w:themeColor="accent3" w:sz="4"/>
        <w:right w:val="single" w:themeColor="accent3" w:sz="4"/>
        <w:insideH w:val="single" w:themeColor="accent3" w:sz="4"/>
        <w:insideV w:val="single" w:themeColor="accent3" w:sz="4"/>
      </w:tblBorders>
    </w:tblPr>
  </w:style>
  <w:style w:type="table" w:styleId="Style_143">
    <w:name w:val="List Table 4 - Accent 1"/>
    <w:basedOn w:val="Style_15"/>
    <w:tblPr>
      <w:tblBorders>
        <w:top w:val="single" w:themeColor="accent1" w:themeTint="90" w:sz="4"/>
        <w:left w:val="single" w:themeColor="accent1" w:themeTint="90" w:sz="4"/>
        <w:bottom w:val="single" w:themeColor="accent1" w:themeTint="90" w:sz="4"/>
        <w:right w:val="single" w:themeColor="accent1" w:themeTint="90" w:sz="4"/>
        <w:insideH w:val="single" w:themeColor="accent1" w:themeTint="90" w:sz="4"/>
      </w:tblBorders>
    </w:tblPr>
  </w:style>
  <w:style w:type="table" w:styleId="Style_144">
    <w:name w:val="List Table 7 Colorful - Accent 6"/>
    <w:basedOn w:val="Style_15"/>
    <w:tblPr>
      <w:tblBorders>
        <w:right w:val="single" w:themeColor="accent6" w:themeTint="98" w:sz="4"/>
      </w:tblBorders>
    </w:tblPr>
  </w:style>
  <w:style w:type="table" w:styleId="Style_145">
    <w:name w:val="List Table 7 Colorful"/>
    <w:basedOn w:val="Style_15"/>
    <w:tblPr>
      <w:tblBorders>
        <w:right w:val="single" w:themeColor="text1" w:themeTint="80" w:sz="4"/>
      </w:tblBorders>
    </w:tblPr>
  </w:style>
  <w:style w:type="table" w:styleId="Style_146">
    <w:name w:val="Table Normal"/>
    <w:rPr>
      <w:rFonts w:asciiTheme="minorAscii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147">
    <w:name w:val="Grid Table 4 - Accent 2"/>
    <w:basedOn w:val="Style_15"/>
    <w:tblPr>
      <w:tblBorders>
        <w:top w:val="single" w:themeColor="accent2" w:themeTint="90" w:sz="4"/>
        <w:left w:val="single" w:themeColor="accent2" w:themeTint="90" w:sz="4"/>
        <w:bottom w:val="single" w:themeColor="accent2" w:themeTint="90" w:sz="4"/>
        <w:right w:val="single" w:themeColor="accent2" w:themeTint="90" w:sz="4"/>
        <w:insideH w:val="single" w:themeColor="accent2" w:themeTint="90" w:sz="4"/>
        <w:insideV w:val="single" w:themeColor="accent2" w:themeTint="90" w:sz="4"/>
      </w:tblBorders>
    </w:tblPr>
  </w:style>
  <w:style w:type="table" w:styleId="Style_148">
    <w:name w:val="Plain Table 4"/>
    <w:basedOn w:val="Style_15"/>
  </w:style>
  <w:style w:type="table" w:styleId="Style_149">
    <w:name w:val="Bordered &amp; Lined - Accent 2"/>
    <w:basedOn w:val="Style_15"/>
    <w:rPr>
      <w:sz w:val="20"/>
    </w:rPr>
    <w:tblPr>
      <w:tblBorders>
        <w:top w:val="single" w:themeColor="accent2" w:sz="4"/>
        <w:left w:val="single" w:themeColor="accent2" w:sz="4"/>
        <w:bottom w:val="single" w:themeColor="accent2" w:sz="4"/>
        <w:right w:val="single" w:themeColor="accent2" w:sz="4"/>
        <w:insideH w:val="single" w:themeColor="accent2" w:sz="4"/>
        <w:insideV w:val="single" w:themeColor="accent2" w:sz="4"/>
      </w:tblBorders>
    </w:tblPr>
  </w:style>
  <w:style w:type="table" w:styleId="Style_150">
    <w:name w:val="List Table 6 Colorful - Accent 3"/>
    <w:basedOn w:val="Style_15"/>
    <w:tblPr>
      <w:tblBorders>
        <w:top w:val="single" w:themeColor="accent3" w:themeTint="98" w:sz="4"/>
        <w:bottom w:val="single" w:themeColor="accent3" w:themeTint="98" w:sz="4"/>
      </w:tblBorders>
    </w:tblPr>
  </w:style>
  <w:style w:type="table" w:styleId="Style_151">
    <w:name w:val="List Table 3 - Accent 4"/>
    <w:basedOn w:val="Style_15"/>
    <w:tblPr>
      <w:tblBorders>
        <w:top w:val="single" w:themeColor="accent4" w:themeTint="9a" w:sz="4"/>
        <w:left w:val="single" w:themeColor="accent4" w:themeTint="9a" w:sz="4"/>
        <w:bottom w:val="single" w:themeColor="accent4" w:themeTint="9a" w:sz="4"/>
        <w:right w:val="single" w:themeColor="accent4" w:themeTint="9a" w:sz="4"/>
      </w:tblBorders>
    </w:tblPr>
  </w:style>
  <w:style w:type="table" w:styleId="Style_152">
    <w:name w:val="List Table 2 - Accent 1"/>
    <w:basedOn w:val="Style_15"/>
    <w:tblPr>
      <w:tblBorders>
        <w:top w:val="single" w:themeColor="accent1" w:themeTint="90" w:sz="4"/>
        <w:bottom w:val="single" w:themeColor="accent1" w:themeTint="90" w:sz="4"/>
        <w:insideH w:val="single" w:themeColor="accent1" w:themeTint="90" w:sz="4"/>
      </w:tblBorders>
    </w:tblPr>
  </w:style>
  <w:style w:type="table" w:styleId="Style_153">
    <w:name w:val="List Table 1 Light - Accent 2"/>
    <w:basedOn w:val="Style_15"/>
  </w:style>
  <w:style w:type="table" w:styleId="Style_154">
    <w:name w:val="Bordered - Accent 1"/>
    <w:basedOn w:val="Style_15"/>
    <w:tblPr>
      <w:tblBorders>
        <w:top w:val="single" w:themeColor="accent1" w:themeTint="67" w:sz="4"/>
        <w:left w:val="single" w:themeColor="accent1" w:themeTint="67" w:sz="4"/>
        <w:bottom w:val="single" w:themeColor="accent1" w:themeTint="67" w:sz="4"/>
        <w:right w:val="single" w:themeColor="accent1" w:themeTint="67" w:sz="4"/>
        <w:insideH w:val="single" w:themeColor="accent1" w:themeTint="67" w:sz="4"/>
        <w:insideV w:val="single" w:themeColor="accent1" w:themeTint="67" w:sz="4"/>
      </w:tblBorders>
    </w:tblPr>
  </w:style>
  <w:style w:type="table" w:styleId="Style_155">
    <w:name w:val="Grid Table 2 - Accent 5"/>
    <w:basedOn w:val="Style_15"/>
    <w:tblPr>
      <w:tblBorders>
        <w:bottom w:val="single" w:themeColor="accent5" w:sz="4"/>
        <w:insideH w:val="single" w:themeColor="accent5" w:sz="4"/>
        <w:insideV w:val="single" w:themeColor="accent5" w:sz="4"/>
      </w:tblBorders>
    </w:tblPr>
  </w:style>
  <w:style w:type="table" w:styleId="Style_156">
    <w:name w:val="Bordered - Accent 2"/>
    <w:basedOn w:val="Style_15"/>
    <w:tblPr>
      <w:tblBorders>
        <w:top w:val="single" w:themeColor="accent2" w:themeTint="67" w:sz="4"/>
        <w:left w:val="single" w:themeColor="accent2" w:themeTint="67" w:sz="4"/>
        <w:bottom w:val="single" w:themeColor="accent2" w:themeTint="67" w:sz="4"/>
        <w:right w:val="single" w:themeColor="accent2" w:themeTint="67" w:sz="4"/>
        <w:insideH w:val="single" w:themeColor="accent2" w:themeTint="67" w:sz="4"/>
        <w:insideV w:val="single" w:themeColor="accent2" w:themeTint="67" w:sz="4"/>
      </w:tblBorders>
    </w:tblPr>
  </w:style>
  <w:style w:type="table" w:styleId="Style_157">
    <w:name w:val="Grid Table 6 Colorful - Accent 5"/>
    <w:basedOn w:val="Style_15"/>
    <w:tblPr>
      <w:tblBorders>
        <w:top w:val="single" w:themeColor="accent5" w:sz="4"/>
        <w:left w:val="single" w:themeColor="accent5" w:sz="4"/>
        <w:bottom w:val="single" w:themeColor="accent5" w:sz="4"/>
        <w:right w:val="single" w:themeColor="accent5" w:sz="4"/>
        <w:insideH w:val="single" w:themeColor="accent5" w:sz="4"/>
        <w:insideV w:val="single" w:themeColor="accent5" w:sz="4"/>
      </w:tblBorders>
    </w:tblPr>
  </w:style>
  <w:style w:type="table" w:styleId="Style_158">
    <w:name w:val="Plain Table 5"/>
    <w:basedOn w:val="Style_15"/>
  </w:style>
  <w:style w:type="table" w:styleId="Style_159">
    <w:name w:val="Table Grid Light"/>
    <w:basedOn w:val="Style_15"/>
    <w:tblPr>
      <w:tblBorders>
        <w:top w:val="single" w:themeColor="text1" w:themeTint="50" w:sz="4"/>
        <w:left w:val="single" w:themeColor="text1" w:themeTint="50" w:sz="4"/>
        <w:bottom w:val="single" w:themeColor="text1" w:themeTint="50" w:sz="4"/>
        <w:right w:val="single" w:themeColor="text1" w:themeTint="50" w:sz="4"/>
        <w:insideH w:val="single" w:themeColor="text1" w:themeTint="50" w:sz="4"/>
        <w:insideV w:val="single" w:themeColor="text1" w:themeTint="50" w:sz="4"/>
      </w:tblBorders>
    </w:tblPr>
  </w:style>
  <w:style w:type="table" w:styleId="Style_160">
    <w:name w:val="Bordered - Accent 4"/>
    <w:basedOn w:val="Style_15"/>
    <w:tblPr>
      <w:tblBorders>
        <w:top w:val="single" w:themeColor="accent4" w:themeTint="67" w:sz="4"/>
        <w:left w:val="single" w:themeColor="accent4" w:themeTint="67" w:sz="4"/>
        <w:bottom w:val="single" w:themeColor="accent4" w:themeTint="67" w:sz="4"/>
        <w:right w:val="single" w:themeColor="accent4" w:themeTint="67" w:sz="4"/>
        <w:insideH w:val="single" w:themeColor="accent4" w:themeTint="67" w:sz="4"/>
        <w:insideV w:val="single" w:themeColor="accent4" w:themeTint="67" w:sz="4"/>
      </w:tblBorders>
    </w:tblPr>
  </w:style>
  <w:style w:type="table" w:styleId="Style_161">
    <w:name w:val="Plain Table 2"/>
    <w:basedOn w:val="Style_15"/>
    <w:tblPr>
      <w:tblBorders>
        <w:top w:val="single" w:themeColor="text1" w:sz="4"/>
        <w:left w:val="nil" w:themeColor="text1" w:sz="4"/>
        <w:bottom w:val="single" w:themeColor="text1" w:sz="4"/>
        <w:right w:val="nil" w:themeColor="text1" w:sz="4"/>
      </w:tblBorders>
    </w:tblPr>
  </w:style>
  <w:style w:type="table" w:styleId="Style_162">
    <w:name w:val="Plain Table 1"/>
    <w:basedOn w:val="Style_15"/>
    <w:tblPr>
      <w:tblBorders>
        <w:top w:val="single" w:themeColor="text1" w:themeTint="50" w:sz="4"/>
        <w:left w:val="single" w:themeColor="text1" w:themeTint="50" w:sz="4"/>
        <w:bottom w:val="single" w:themeColor="text1" w:themeTint="50" w:sz="4"/>
        <w:right w:val="single" w:themeColor="text1" w:themeTint="50" w:sz="4"/>
        <w:insideH w:val="single" w:themeColor="text1" w:themeTint="50" w:sz="4"/>
        <w:insideV w:val="single" w:themeColor="text1" w:themeTint="50" w:sz="4"/>
      </w:tblBorders>
    </w:tblPr>
  </w:style>
  <w:style w:type="table" w:styleId="Style_163">
    <w:name w:val="List Table 1 Light - Accent 4"/>
    <w:basedOn w:val="Style_15"/>
  </w:style>
  <w:style w:type="table" w:styleId="Style_164">
    <w:name w:val="Grid Table 4 - Accent 5"/>
    <w:basedOn w:val="Style_15"/>
    <w:tblPr>
      <w:tblBorders>
        <w:top w:val="single" w:themeColor="accent5" w:themeTint="90" w:sz="4"/>
        <w:left w:val="single" w:themeColor="accent5" w:themeTint="90" w:sz="4"/>
        <w:bottom w:val="single" w:themeColor="accent5" w:themeTint="90" w:sz="4"/>
        <w:right w:val="single" w:themeColor="accent5" w:themeTint="90" w:sz="4"/>
        <w:insideH w:val="single" w:themeColor="accent5" w:themeTint="90" w:sz="4"/>
        <w:insideV w:val="single" w:themeColor="accent5" w:themeTint="90" w:sz="4"/>
      </w:tblBorders>
    </w:tblPr>
  </w:style>
  <w:style w:type="table" w:styleId="Style_165">
    <w:name w:val="Bordered - Accent 5"/>
    <w:basedOn w:val="Style_15"/>
    <w:tblPr>
      <w:tblBorders>
        <w:top w:val="single" w:themeColor="accent5" w:themeTint="67" w:sz="4"/>
        <w:left w:val="single" w:themeColor="accent5" w:themeTint="67" w:sz="4"/>
        <w:bottom w:val="single" w:themeColor="accent5" w:themeTint="67" w:sz="4"/>
        <w:right w:val="single" w:themeColor="accent5" w:themeTint="67" w:sz="4"/>
        <w:insideH w:val="single" w:themeColor="accent5" w:themeTint="67" w:sz="4"/>
        <w:insideV w:val="single" w:themeColor="accent5" w:themeTint="67" w:sz="4"/>
      </w:tblBorders>
    </w:tblPr>
  </w:style>
  <w:style w:type="table" w:styleId="Style_166">
    <w:name w:val="Bordered &amp; Lined - Accent 6"/>
    <w:basedOn w:val="Style_15"/>
    <w:rPr>
      <w:sz w:val="20"/>
    </w:rPr>
    <w:tblPr>
      <w:tblBorders>
        <w:top w:val="single" w:themeColor="accent6" w:sz="4"/>
        <w:left w:val="single" w:themeColor="accent6" w:sz="4"/>
        <w:bottom w:val="single" w:themeColor="accent6" w:sz="4"/>
        <w:right w:val="single" w:themeColor="accent6" w:sz="4"/>
        <w:insideH w:val="single" w:themeColor="accent6" w:sz="4"/>
        <w:insideV w:val="single" w:themeColor="accent6" w:sz="4"/>
      </w:tblBorders>
    </w:tblPr>
  </w:style>
  <w:style w:type="table" w:styleId="Style_167">
    <w:name w:val="Grid Table 3 - Accent 5"/>
    <w:basedOn w:val="Style_15"/>
    <w:tblPr>
      <w:tblBorders>
        <w:bottom w:val="single" w:themeColor="accent5" w:sz="4"/>
        <w:insideH w:val="single" w:themeColor="accent5" w:sz="4"/>
        <w:insideV w:val="single" w:themeColor="accent5" w:sz="4"/>
      </w:tblBorders>
    </w:tblPr>
  </w:style>
  <w:style w:type="table" w:styleId="Style_168">
    <w:name w:val="Grid Table 3 - Accent 1"/>
    <w:basedOn w:val="Style_15"/>
    <w:tblPr>
      <w:tblBorders>
        <w:bottom w:val="single" w:themeColor="accent1" w:themeTint="ea" w:sz="4"/>
        <w:insideH w:val="single" w:themeColor="accent1" w:themeTint="ea" w:sz="4"/>
        <w:insideV w:val="single" w:themeColor="accent1" w:themeTint="ea" w:sz="4"/>
      </w:tblBorders>
    </w:tblPr>
  </w:style>
  <w:style w:type="table" w:styleId="Style_169">
    <w:name w:val="List Table 5 Dark - Accent 5"/>
    <w:basedOn w:val="Style_15"/>
    <w:tblPr>
      <w:tblBorders>
        <w:top w:val="single" w:themeColor="accent5" w:themeTint="9a" w:sz="32"/>
        <w:left w:val="single" w:themeColor="accent5" w:themeTint="9a" w:sz="32"/>
        <w:bottom w:val="single" w:themeColor="accent5" w:themeTint="9a" w:sz="32"/>
        <w:right w:val="single" w:themeColor="accent5" w:themeTint="9a" w:sz="32"/>
      </w:tblBorders>
    </w:tblPr>
  </w:style>
  <w:style w:type="table" w:styleId="Style_170">
    <w:name w:val="List Table 1 Light - Accent 1"/>
    <w:basedOn w:val="Style_15"/>
  </w:style>
  <w:style w:type="table" w:styleId="Style_171">
    <w:name w:val="List Table 7 Colorful - Accent 3"/>
    <w:basedOn w:val="Style_15"/>
    <w:tblPr>
      <w:tblBorders>
        <w:right w:val="single" w:themeColor="accent3" w:themeTint="98" w:sz="4"/>
      </w:tblBorders>
    </w:tblPr>
  </w:style>
  <w:style w:type="table" w:styleId="Style_172">
    <w:name w:val="Grid Table 3 - Accent 2"/>
    <w:basedOn w:val="Style_15"/>
    <w:tblPr>
      <w:tblBorders>
        <w:bottom w:val="single" w:themeColor="accent2" w:themeTint="97" w:sz="4"/>
        <w:insideH w:val="single" w:themeColor="accent2" w:themeTint="97" w:sz="4"/>
        <w:insideV w:val="single" w:themeColor="accent2" w:themeTint="97" w:sz="4"/>
      </w:tblBorders>
    </w:tblPr>
  </w:style>
  <w:style w:type="table" w:styleId="Style_173">
    <w:name w:val="Grid Table 2 - Accent 4"/>
    <w:basedOn w:val="Style_15"/>
    <w:tblPr>
      <w:tblBorders>
        <w:bottom w:val="single" w:themeColor="accent4" w:themeTint="9a" w:sz="4"/>
        <w:insideH w:val="single" w:themeColor="accent4" w:themeTint="9a" w:sz="4"/>
        <w:insideV w:val="single" w:themeColor="accent4" w:themeTint="9a" w:sz="4"/>
      </w:tblBorders>
    </w:tblPr>
  </w:style>
  <w:style w:type="table" w:styleId="Style_174">
    <w:name w:val="List Table 7 Colorful - Accent 4"/>
    <w:basedOn w:val="Style_15"/>
    <w:tblPr>
      <w:tblBorders>
        <w:right w:val="single" w:themeColor="accent4" w:themeTint="9a" w:sz="4"/>
      </w:tblBorders>
    </w:tblPr>
  </w:style>
  <w:style w:type="table" w:styleId="Style_175">
    <w:name w:val="List Table 3 - Accent 2"/>
    <w:basedOn w:val="Style_15"/>
    <w:tblPr>
      <w:tblBorders>
        <w:top w:val="single" w:themeColor="accent2" w:themeTint="97" w:sz="4"/>
        <w:left w:val="single" w:themeColor="accent2" w:themeTint="97" w:sz="4"/>
        <w:bottom w:val="single" w:themeColor="accent2" w:themeTint="97" w:sz="4"/>
        <w:right w:val="single" w:themeColor="accent2" w:themeTint="97" w:sz="4"/>
      </w:tblBorders>
    </w:tblPr>
  </w:style>
  <w:style w:type="table" w:styleId="Style_176">
    <w:name w:val="Grid Table 7 Colorful - Accent 4"/>
    <w:basedOn w:val="Style_15"/>
    <w:tblPr>
      <w:tblBorders>
        <w:bottom w:val="single" w:themeColor="accent4" w:themeTint="9a" w:sz="4"/>
        <w:right w:val="single" w:themeColor="accent4" w:themeTint="9a" w:sz="4"/>
        <w:insideH w:val="single" w:themeColor="accent4" w:themeTint="9a" w:sz="4"/>
        <w:insideV w:val="single" w:themeColor="accent4" w:themeTint="9a" w:sz="4"/>
      </w:tblBorders>
    </w:tblPr>
  </w:style>
  <w:style w:type="table" w:styleId="Style_177">
    <w:name w:val="Grid Table 1 Light - Accent 3"/>
    <w:basedOn w:val="Style_15"/>
    <w:tblPr>
      <w:tblBorders>
        <w:top w:val="single" w:themeColor="accent3" w:themeTint="67" w:sz="4"/>
        <w:left w:val="single" w:themeColor="accent3" w:themeTint="67" w:sz="4"/>
        <w:bottom w:val="single" w:themeColor="accent3" w:themeTint="67" w:sz="4"/>
        <w:right w:val="single" w:themeColor="accent3" w:themeTint="67" w:sz="4"/>
        <w:insideH w:val="single" w:themeColor="accent3" w:themeTint="67" w:sz="4"/>
        <w:insideV w:val="single" w:themeColor="accent3" w:themeTint="67" w:sz="4"/>
      </w:tblBorders>
    </w:tblPr>
  </w:style>
  <w:style w:type="table" w:styleId="Style_178">
    <w:name w:val="Grid Table 2 - Accent 2"/>
    <w:basedOn w:val="Style_15"/>
    <w:tblPr>
      <w:tblBorders>
        <w:bottom w:val="single" w:themeColor="accent2" w:themeTint="97" w:sz="4"/>
        <w:insideH w:val="single" w:themeColor="accent2" w:themeTint="97" w:sz="4"/>
        <w:insideV w:val="single" w:themeColor="accent2" w:themeTint="97" w:sz="4"/>
      </w:tblBorders>
    </w:tblPr>
  </w:style>
  <w:style w:type="table" w:styleId="Style_179">
    <w:name w:val="Grid Table 5 Dark"/>
    <w:basedOn w:val="Style_15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</w:tblPr>
  </w:style>
  <w:style w:type="table" w:styleId="Style_180">
    <w:name w:val="List Table 3 - Accent 5"/>
    <w:basedOn w:val="Style_15"/>
    <w:tblPr>
      <w:tblBorders>
        <w:top w:val="single" w:themeColor="accent5" w:themeTint="9a" w:sz="4"/>
        <w:left w:val="single" w:themeColor="accent5" w:themeTint="9a" w:sz="4"/>
        <w:bottom w:val="single" w:themeColor="accent5" w:themeTint="9a" w:sz="4"/>
        <w:right w:val="single" w:themeColor="accent5" w:themeTint="9a" w:sz="4"/>
      </w:tblBorders>
    </w:tblPr>
  </w:style>
  <w:style w:type="table" w:styleId="Style_181">
    <w:name w:val="Grid Table 6 Colorful - Accent 6"/>
    <w:basedOn w:val="Style_15"/>
    <w:tblPr>
      <w:tblBorders>
        <w:top w:val="single" w:themeColor="accent6" w:sz="4"/>
        <w:left w:val="single" w:themeColor="accent6" w:sz="4"/>
        <w:bottom w:val="single" w:themeColor="accent6" w:sz="4"/>
        <w:right w:val="single" w:themeColor="accent6" w:sz="4"/>
        <w:insideH w:val="single" w:themeColor="accent6" w:sz="4"/>
        <w:insideV w:val="single" w:themeColor="accent6" w:sz="4"/>
      </w:tblBorders>
    </w:tblPr>
  </w:style>
  <w:style w:type="table" w:styleId="Style_182">
    <w:name w:val="Plain Table 3"/>
    <w:basedOn w:val="Style_15"/>
  </w:style>
  <w:style w:type="table" w:styleId="Style_183">
    <w:name w:val="Grid Table 1 Light - Accent 4"/>
    <w:basedOn w:val="Style_15"/>
    <w:tblPr>
      <w:tblBorders>
        <w:top w:val="single" w:themeColor="accent4" w:themeTint="67" w:sz="4"/>
        <w:left w:val="single" w:themeColor="accent4" w:themeTint="67" w:sz="4"/>
        <w:bottom w:val="single" w:themeColor="accent4" w:themeTint="67" w:sz="4"/>
        <w:right w:val="single" w:themeColor="accent4" w:themeTint="67" w:sz="4"/>
        <w:insideH w:val="single" w:themeColor="accent4" w:themeTint="67" w:sz="4"/>
        <w:insideV w:val="single" w:themeColor="accent4" w:themeTint="67" w:sz="4"/>
      </w:tblBorders>
    </w:tblPr>
  </w:style>
  <w:style w:type="table" w:styleId="Style_184">
    <w:name w:val="Grid Table 7 Colorful - Accent 2"/>
    <w:basedOn w:val="Style_15"/>
    <w:tblPr>
      <w:tblBorders>
        <w:bottom w:val="single" w:themeColor="accent2" w:themeTint="97" w:sz="4"/>
        <w:right w:val="single" w:themeColor="accent2" w:themeTint="97" w:sz="4"/>
        <w:insideH w:val="single" w:themeColor="accent2" w:themeTint="97" w:sz="4"/>
        <w:insideV w:val="single" w:themeColor="accent2" w:themeTint="97" w:sz="4"/>
      </w:tblBorders>
    </w:tblPr>
  </w:style>
  <w:style w:type="table" w:styleId="Style_185">
    <w:name w:val="Grid Table 5 Dark - Accent 6"/>
    <w:basedOn w:val="Style_15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</w:tblPr>
  </w:style>
  <w:style w:type="table" w:styleId="Style_186">
    <w:name w:val="Grid Table 2 - Accent 3"/>
    <w:basedOn w:val="Style_15"/>
    <w:tblPr>
      <w:tblBorders>
        <w:bottom w:val="single" w:themeColor="accent3" w:themeTint="fe" w:sz="4"/>
        <w:insideH w:val="single" w:themeColor="accent3" w:themeTint="fe" w:sz="4"/>
        <w:insideV w:val="single" w:themeColor="accent3" w:themeTint="fe" w:sz="4"/>
      </w:tblBorders>
    </w:tblPr>
  </w:style>
  <w:style w:type="table" w:styleId="Style_187">
    <w:name w:val="Grid Table 2 - Accent 6"/>
    <w:basedOn w:val="Style_15"/>
    <w:tblPr>
      <w:tblBorders>
        <w:bottom w:val="single" w:themeColor="accent6" w:sz="4"/>
        <w:insideH w:val="single" w:themeColor="accent6" w:sz="4"/>
        <w:insideV w:val="single" w:themeColor="accent6" w:sz="4"/>
      </w:tblBorders>
    </w:tblPr>
  </w:style>
  <w:style w:type="table" w:styleId="Style_188">
    <w:name w:val="Bordered"/>
    <w:basedOn w:val="Style_15"/>
    <w:tblPr>
      <w:tblBorders>
        <w:top w:val="single" w:themeColor="text1" w:themeTint="26" w:sz="4"/>
        <w:left w:val="single" w:themeColor="text1" w:themeTint="26" w:sz="4"/>
        <w:bottom w:val="single" w:themeColor="text1" w:themeTint="26" w:sz="4"/>
        <w:right w:val="single" w:themeColor="text1" w:themeTint="26" w:sz="4"/>
        <w:insideH w:val="single" w:themeColor="text1" w:themeTint="26" w:sz="4"/>
        <w:insideV w:val="single" w:themeColor="text1" w:themeTint="26" w:sz="4"/>
      </w:tblBorders>
    </w:tblPr>
  </w:style>
  <w:style w:type="table" w:styleId="Style_189">
    <w:name w:val="Grid Table 1 Light - Accent 2"/>
    <w:basedOn w:val="Style_15"/>
    <w:tblPr>
      <w:tblBorders>
        <w:top w:val="single" w:themeColor="accent2" w:themeTint="67" w:sz="4"/>
        <w:left w:val="single" w:themeColor="accent2" w:themeTint="67" w:sz="4"/>
        <w:bottom w:val="single" w:themeColor="accent2" w:themeTint="67" w:sz="4"/>
        <w:right w:val="single" w:themeColor="accent2" w:themeTint="67" w:sz="4"/>
        <w:insideH w:val="single" w:themeColor="accent2" w:themeTint="67" w:sz="4"/>
        <w:insideV w:val="single" w:themeColor="accent2" w:themeTint="67" w:sz="4"/>
      </w:tblBorders>
    </w:tblPr>
  </w:style>
  <w:style w:type="table" w:styleId="Style_190">
    <w:name w:val="List Table 1 Light - Accent 6"/>
    <w:basedOn w:val="Style_15"/>
  </w:style>
  <w:style w:type="table" w:styleId="Style_191">
    <w:name w:val="List Table 2 - Accent 3"/>
    <w:basedOn w:val="Style_15"/>
    <w:tblPr>
      <w:tblBorders>
        <w:top w:val="single" w:themeColor="accent3" w:themeTint="90" w:sz="4"/>
        <w:bottom w:val="single" w:themeColor="accent3" w:themeTint="90" w:sz="4"/>
        <w:insideH w:val="single" w:themeColor="accent3" w:themeTint="90" w:sz="4"/>
      </w:tblBorders>
    </w:tblPr>
  </w:style>
  <w:style w:type="table" w:styleId="Style_192">
    <w:name w:val="List Table 4 - Accent 4"/>
    <w:basedOn w:val="Style_15"/>
    <w:tblPr>
      <w:tblBorders>
        <w:top w:val="single" w:themeColor="accent4" w:themeTint="90" w:sz="4"/>
        <w:left w:val="single" w:themeColor="accent4" w:themeTint="90" w:sz="4"/>
        <w:bottom w:val="single" w:themeColor="accent4" w:themeTint="90" w:sz="4"/>
        <w:right w:val="single" w:themeColor="accent4" w:themeTint="90" w:sz="4"/>
        <w:insideH w:val="single" w:themeColor="accent4" w:themeTint="90" w:sz="4"/>
      </w:tblBorders>
    </w:tblPr>
  </w:style>
  <w:style w:type="table" w:styleId="Style_193">
    <w:name w:val="Grid Table 1 Light - Accent 1"/>
    <w:basedOn w:val="Style_15"/>
    <w:tblPr>
      <w:tblBorders>
        <w:top w:val="single" w:themeColor="accent1" w:themeTint="67" w:sz="4"/>
        <w:left w:val="single" w:themeColor="accent1" w:themeTint="67" w:sz="4"/>
        <w:bottom w:val="single" w:themeColor="accent1" w:themeTint="67" w:sz="4"/>
        <w:right w:val="single" w:themeColor="accent1" w:themeTint="67" w:sz="4"/>
        <w:insideH w:val="single" w:themeColor="accent1" w:themeTint="67" w:sz="4"/>
        <w:insideV w:val="single" w:themeColor="accent1" w:themeTint="67" w:sz="4"/>
      </w:tblBorders>
    </w:tblPr>
  </w:style>
  <w:style w:type="table" w:styleId="Style_194">
    <w:name w:val="List Table 7 Colorful - Accent 5"/>
    <w:basedOn w:val="Style_15"/>
    <w:tblPr>
      <w:tblBorders>
        <w:right w:val="single" w:themeColor="accent5" w:themeTint="9a" w:sz="4"/>
      </w:tblBorders>
    </w:tblPr>
  </w:style>
  <w:style w:type="table" w:styleId="Style_195">
    <w:name w:val="Bordered - Accent 3"/>
    <w:basedOn w:val="Style_15"/>
    <w:tblPr>
      <w:tblBorders>
        <w:top w:val="single" w:themeColor="accent3" w:themeTint="67" w:sz="4"/>
        <w:left w:val="single" w:themeColor="accent3" w:themeTint="67" w:sz="4"/>
        <w:bottom w:val="single" w:themeColor="accent3" w:themeTint="67" w:sz="4"/>
        <w:right w:val="single" w:themeColor="accent3" w:themeTint="67" w:sz="4"/>
        <w:insideH w:val="single" w:themeColor="accent3" w:themeTint="67" w:sz="4"/>
        <w:insideV w:val="single" w:themeColor="accent3" w:themeTint="67" w:sz="4"/>
      </w:tblBorders>
    </w:tblPr>
  </w:style>
  <w:style w:type="table" w:styleId="Style_196">
    <w:name w:val="List Table 6 Colorful - Accent 1"/>
    <w:basedOn w:val="Style_15"/>
    <w:tblPr>
      <w:tblBorders>
        <w:top w:val="single" w:themeColor="accent1" w:sz="4"/>
        <w:bottom w:val="single" w:themeColor="accent1" w:sz="4"/>
      </w:tblBorders>
    </w:tblPr>
  </w:style>
  <w:style w:type="table" w:styleId="Style_197">
    <w:name w:val="Grid Table 6 Colorful - Accent 1"/>
    <w:basedOn w:val="Style_15"/>
    <w:tblPr>
      <w:tblBorders>
        <w:top w:val="single" w:themeColor="accent1" w:themeTint="80" w:sz="4"/>
        <w:left w:val="single" w:themeColor="accent1" w:themeTint="80" w:sz="4"/>
        <w:bottom w:val="single" w:themeColor="accent1" w:themeTint="80" w:sz="4"/>
        <w:right w:val="single" w:themeColor="accent1" w:themeTint="80" w:sz="4"/>
        <w:insideH w:val="single" w:themeColor="accent1" w:themeTint="80" w:sz="4"/>
        <w:insideV w:val="single" w:themeColor="accent1" w:themeTint="80" w:sz="4"/>
      </w:tblBorders>
    </w:tblPr>
  </w:style>
  <w:style w:type="table" w:styleId="Style_198">
    <w:name w:val="List Table 4 - Accent 6"/>
    <w:basedOn w:val="Style_15"/>
    <w:tblPr>
      <w:tblBorders>
        <w:top w:val="single" w:themeColor="accent6" w:themeTint="90" w:sz="4"/>
        <w:left w:val="single" w:themeColor="accent6" w:themeTint="90" w:sz="4"/>
        <w:bottom w:val="single" w:themeColor="accent6" w:themeTint="90" w:sz="4"/>
        <w:right w:val="single" w:themeColor="accent6" w:themeTint="90" w:sz="4"/>
        <w:insideH w:val="single" w:themeColor="accent6" w:themeTint="90" w:sz="4"/>
      </w:tblBorders>
    </w:tblPr>
  </w:style>
  <w:style w:type="table" w:styleId="Style_199">
    <w:name w:val="Grid Table 7 Colorful - Accent 6"/>
    <w:basedOn w:val="Style_15"/>
    <w:tblPr>
      <w:tblBorders>
        <w:bottom w:val="single" w:themeColor="accent6" w:themeTint="90" w:sz="4"/>
        <w:right w:val="single" w:themeColor="accent6" w:themeTint="90" w:sz="4"/>
        <w:insideH w:val="single" w:themeColor="accent6" w:themeTint="90" w:sz="4"/>
        <w:insideV w:val="single" w:themeColor="accent6" w:themeTint="90" w:sz="4"/>
      </w:tblBorders>
    </w:tblPr>
  </w:style>
  <w:style w:type="table" w:styleId="Style_200">
    <w:name w:val="Grid Table 5 Dark- Accent 4"/>
    <w:basedOn w:val="Style_15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header" Target="head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3.xm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footnotes" Target="footnotes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Application>LibreOffice/7.6.7.2$Linux_X86_64 LibreOffice_project/60$Build-2</Application>
  <AppVersion>15.0000</AppVersion>
  <Pages>41</Pages>
  <Words>12019</Words>
  <Characters>80804</Characters>
  <CharactersWithSpaces>92052</CharactersWithSpaces>
  <Paragraphs>846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2026-03-17T17:57:31Z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